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ind w:firstLine="1920" w:firstLineChars="600"/>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年卫生监督</w:t>
      </w:r>
      <w:r>
        <w:rPr>
          <w:rFonts w:hint="eastAsia" w:ascii="仿宋_GB2312" w:eastAsia="仿宋_GB2312"/>
          <w:sz w:val="32"/>
          <w:szCs w:val="32"/>
          <w:lang w:eastAsia="zh-CN"/>
        </w:rPr>
        <w:t>行政执法</w:t>
      </w:r>
      <w:r>
        <w:rPr>
          <w:rFonts w:hint="eastAsia" w:ascii="仿宋_GB2312" w:eastAsia="仿宋_GB2312"/>
          <w:sz w:val="32"/>
          <w:szCs w:val="32"/>
        </w:rPr>
        <w:t>工作计划</w:t>
      </w:r>
    </w:p>
    <w:p>
      <w:pPr>
        <w:adjustRightInd w:val="0"/>
        <w:snapToGrid w:val="0"/>
        <w:spacing w:line="360" w:lineRule="auto"/>
        <w:ind w:firstLine="2720" w:firstLineChars="850"/>
        <w:rPr>
          <w:rFonts w:ascii="仿宋_GB2312" w:eastAsia="仿宋_GB2312"/>
          <w:sz w:val="32"/>
          <w:szCs w:val="32"/>
        </w:rPr>
      </w:pPr>
    </w:p>
    <w:p>
      <w:pPr>
        <w:widowControl/>
        <w:shd w:val="clear" w:color="auto" w:fill="FFFFFF"/>
        <w:spacing w:line="375" w:lineRule="atLeast"/>
        <w:ind w:firstLine="800" w:firstLineChars="250"/>
        <w:jc w:val="left"/>
        <w:rPr>
          <w:rFonts w:ascii="宋体" w:hAnsi="宋体" w:eastAsia="仿宋_GB2312" w:cs="Tahoma"/>
          <w:color w:val="000000"/>
          <w:kern w:val="0"/>
          <w:sz w:val="32"/>
          <w:szCs w:val="32"/>
        </w:rPr>
      </w:pPr>
      <w:r>
        <w:rPr>
          <w:rFonts w:hint="eastAsia" w:ascii="宋体" w:hAnsi="宋体" w:eastAsia="仿宋_GB2312" w:cs="Tahoma"/>
          <w:color w:val="000000"/>
          <w:kern w:val="0"/>
          <w:sz w:val="32"/>
          <w:szCs w:val="32"/>
        </w:rPr>
        <w:t>一、加强执法人员培训工作：3月份，集中几天时间，对单位执法人员集中进行业务培训，提高执法人员业务知识和执法办案水平，由各位副所长分别负责培训课件的制作和培训工作，各位副所长制作完培训课件后，即开展培训工作。</w:t>
      </w:r>
    </w:p>
    <w:p>
      <w:pPr>
        <w:widowControl/>
        <w:shd w:val="clear" w:color="auto" w:fill="FFFFFF"/>
        <w:spacing w:line="375" w:lineRule="atLeast"/>
        <w:ind w:firstLine="800" w:firstLineChars="250"/>
        <w:jc w:val="left"/>
        <w:rPr>
          <w:rFonts w:ascii="宋体" w:hAnsi="宋体" w:eastAsia="仿宋_GB2312" w:cs="Tahoma"/>
          <w:color w:val="000000"/>
          <w:kern w:val="0"/>
          <w:sz w:val="32"/>
          <w:szCs w:val="32"/>
        </w:rPr>
      </w:pPr>
      <w:r>
        <w:rPr>
          <w:rFonts w:hint="eastAsia" w:ascii="宋体" w:hAnsi="宋体" w:eastAsia="仿宋_GB2312" w:cs="Tahoma"/>
          <w:color w:val="000000"/>
          <w:kern w:val="0"/>
          <w:sz w:val="32"/>
          <w:szCs w:val="32"/>
        </w:rPr>
        <w:t>二、加强对医疗机构的日常监督。医疗机构监督覆盖率达100%；截止到202</w:t>
      </w:r>
      <w:r>
        <w:rPr>
          <w:rFonts w:hint="eastAsia" w:ascii="宋体" w:hAnsi="宋体" w:eastAsia="仿宋_GB2312" w:cs="Tahoma"/>
          <w:color w:val="000000"/>
          <w:kern w:val="0"/>
          <w:sz w:val="32"/>
          <w:szCs w:val="32"/>
          <w:lang w:val="en-US" w:eastAsia="zh-CN"/>
        </w:rPr>
        <w:t>3</w:t>
      </w:r>
      <w:r>
        <w:rPr>
          <w:rFonts w:hint="eastAsia" w:ascii="宋体" w:hAnsi="宋体" w:eastAsia="仿宋_GB2312" w:cs="Tahoma"/>
          <w:color w:val="000000"/>
          <w:kern w:val="0"/>
          <w:sz w:val="32"/>
          <w:szCs w:val="32"/>
        </w:rPr>
        <w:t>年6月末前，各医疗监督科、传染病科建立健全医疗机构企业档案；每次检查都有检查文书；有影像资料；并通过信息平台及时上报监督检查信息；</w:t>
      </w:r>
    </w:p>
    <w:p>
      <w:pPr>
        <w:widowControl/>
        <w:shd w:val="clear" w:color="auto" w:fill="FFFFFF"/>
        <w:spacing w:line="375" w:lineRule="atLeast"/>
        <w:ind w:firstLine="800" w:firstLineChars="250"/>
        <w:jc w:val="left"/>
        <w:rPr>
          <w:rFonts w:ascii="宋体" w:hAnsi="宋体" w:eastAsia="仿宋_GB2312" w:cs="Tahoma"/>
          <w:color w:val="000000"/>
          <w:kern w:val="0"/>
          <w:sz w:val="32"/>
          <w:szCs w:val="32"/>
        </w:rPr>
      </w:pPr>
      <w:r>
        <w:rPr>
          <w:rFonts w:hint="eastAsia" w:ascii="宋体" w:hAnsi="宋体" w:eastAsia="仿宋_GB2312" w:cs="Tahoma"/>
          <w:color w:val="000000"/>
          <w:kern w:val="0"/>
          <w:sz w:val="32"/>
          <w:szCs w:val="32"/>
        </w:rPr>
        <w:t>三、认真办理群众投诉举报，严肃查处无证行医案件。要保证投诉举报渠道的畅通，做好群众投诉举报的受理工作，把群众投诉举报作为发现无证行医问题的重要线索进行认真查办，群众举报受理案件的调查处理率达100%。围绕无证行医的重点环节，认真分析无证行医和非法采供血存在的原因，强化依法监管的力度，加大执法力度，建立长效治理措施。不断提高执法人员的办案水平。加大涉嫌非法行医案件的移送工作力度。</w:t>
      </w:r>
    </w:p>
    <w:p>
      <w:pPr>
        <w:widowControl/>
        <w:shd w:val="clear" w:color="auto" w:fill="FFFFFF"/>
        <w:spacing w:line="375" w:lineRule="atLeast"/>
        <w:ind w:firstLine="480"/>
        <w:jc w:val="left"/>
        <w:rPr>
          <w:rFonts w:ascii="宋体" w:hAnsi="宋体" w:eastAsia="仿宋_GB2312" w:cs="Tahoma"/>
          <w:color w:val="000000"/>
          <w:kern w:val="0"/>
          <w:sz w:val="18"/>
          <w:szCs w:val="18"/>
        </w:rPr>
      </w:pPr>
      <w:r>
        <w:rPr>
          <w:rFonts w:hint="eastAsia" w:ascii="宋体" w:hAnsi="宋体" w:eastAsia="仿宋_GB2312" w:cs="Tahoma"/>
          <w:color w:val="000000"/>
          <w:kern w:val="0"/>
          <w:sz w:val="32"/>
          <w:szCs w:val="32"/>
        </w:rPr>
        <w:t>四、严密组织，扎实推进公共场所卫生监督管理。</w:t>
      </w:r>
    </w:p>
    <w:p>
      <w:pPr>
        <w:widowControl/>
        <w:shd w:val="clear" w:color="auto" w:fill="FFFFFF"/>
        <w:spacing w:line="375" w:lineRule="atLeast"/>
        <w:ind w:firstLine="640"/>
        <w:jc w:val="left"/>
        <w:rPr>
          <w:rFonts w:ascii="宋体" w:hAnsi="宋体" w:eastAsia="仿宋_GB2312" w:cs="Tahoma"/>
          <w:color w:val="000000"/>
          <w:kern w:val="0"/>
          <w:sz w:val="18"/>
          <w:szCs w:val="18"/>
        </w:rPr>
      </w:pPr>
      <w:r>
        <w:rPr>
          <w:rFonts w:hint="eastAsia" w:ascii="宋体" w:hAnsi="宋体" w:eastAsia="仿宋_GB2312" w:cs="Tahoma"/>
          <w:color w:val="000000"/>
          <w:kern w:val="0"/>
          <w:sz w:val="32"/>
          <w:szCs w:val="32"/>
        </w:rPr>
        <w:t>一是认真开展公共场所卫生许可证的事后监管工作，按照办证大厅发到单位邮箱内的“公共场所许可信息移交监管部门的通知”名单，每个月组织一次许可后公共场所验收、监管工作。202</w:t>
      </w:r>
      <w:r>
        <w:rPr>
          <w:rFonts w:hint="eastAsia" w:ascii="宋体" w:hAnsi="宋体" w:eastAsia="仿宋_GB2312" w:cs="Tahoma"/>
          <w:color w:val="000000"/>
          <w:kern w:val="0"/>
          <w:sz w:val="32"/>
          <w:szCs w:val="32"/>
          <w:lang w:val="en-US" w:eastAsia="zh-CN"/>
        </w:rPr>
        <w:t>3</w:t>
      </w:r>
      <w:r>
        <w:rPr>
          <w:rFonts w:hint="eastAsia" w:ascii="宋体" w:hAnsi="宋体" w:eastAsia="仿宋_GB2312" w:cs="Tahoma"/>
          <w:color w:val="000000"/>
          <w:kern w:val="0"/>
          <w:sz w:val="32"/>
          <w:szCs w:val="32"/>
        </w:rPr>
        <w:t>年6月末前，各公共场所监督科摸清各乡镇公共场所单位底数（洗浴场所；住宿场所；美容、美发、文化娱乐场所（歌厅）；游泳场所；购物交易场所（商场、超市）；建立公共场所单位企业档案，并登记记录各乡镇公共场所名单；同时完成公共场所单位监督检查任务，对登记在卫生监督信息报告系统内的公共场所单位使用手持执法终端开展监督检查，并将检查结果及时上传到信息报告系统，检查都有检查文书；有影像资料；各公共场所监督科要及时完成县内住宿、洗浴、美容美发、游泳场所的量化分级管理工作；对这四类公共场所量化评分，发放量化等级标识；完成国家“双随机、一公开”监督抽检工作计划，保证按时完成双随机监督检查和检测工作任务。</w:t>
      </w:r>
    </w:p>
    <w:p>
      <w:pPr>
        <w:widowControl/>
        <w:shd w:val="clear" w:color="auto" w:fill="FFFFFF"/>
        <w:spacing w:line="375" w:lineRule="atLeast"/>
        <w:ind w:firstLine="480"/>
        <w:jc w:val="left"/>
        <w:rPr>
          <w:rFonts w:ascii="宋体" w:hAnsi="宋体" w:eastAsia="仿宋_GB2312" w:cs="Tahoma"/>
          <w:color w:val="000000"/>
          <w:kern w:val="0"/>
          <w:sz w:val="18"/>
          <w:szCs w:val="18"/>
        </w:rPr>
      </w:pPr>
      <w:r>
        <w:rPr>
          <w:rFonts w:hint="eastAsia" w:ascii="宋体" w:hAnsi="宋体" w:eastAsia="仿宋_GB2312" w:cs="Tahoma"/>
          <w:color w:val="000000"/>
          <w:kern w:val="0"/>
          <w:sz w:val="32"/>
          <w:szCs w:val="32"/>
        </w:rPr>
        <w:t>五、生活饮用水卫生监督工作。扎实推进《吉林省生活饮用水卫生监督管理条例》执行情况的监督检查，深入开展集中式供水、二次供水专项整治，加强农村集中式供水的监督管理，规范供水单位卫生管理，严肃查处违法供水行为。各科建立健全供水单位档案；对村集中式供水单位进行全覆盖检查，对符合发证条件的供水单位给予发放供水卫生许可证。对城市二次供水单位进行调查建档，并完成监督检查工作。</w:t>
      </w:r>
    </w:p>
    <w:p>
      <w:pPr>
        <w:widowControl/>
        <w:shd w:val="clear" w:color="auto" w:fill="FFFFFF"/>
        <w:spacing w:line="375" w:lineRule="atLeast"/>
        <w:ind w:firstLine="480"/>
        <w:jc w:val="left"/>
        <w:rPr>
          <w:rFonts w:ascii="宋体" w:hAnsi="宋体" w:eastAsia="仿宋_GB2312" w:cs="Tahoma"/>
          <w:color w:val="000000"/>
          <w:kern w:val="0"/>
          <w:sz w:val="32"/>
          <w:szCs w:val="32"/>
        </w:rPr>
      </w:pPr>
      <w:r>
        <w:rPr>
          <w:rFonts w:hint="eastAsia" w:ascii="宋体" w:hAnsi="宋体" w:eastAsia="仿宋_GB2312" w:cs="Tahoma"/>
          <w:color w:val="000000"/>
          <w:kern w:val="0"/>
          <w:sz w:val="32"/>
          <w:szCs w:val="32"/>
        </w:rPr>
        <w:t>六、认真开展学校、托幼机构卫生监督工作。开展学校卫生综合评价和托幼机构卫生监督规范化管理工作，完成学校和托幼机构单位建档工作，组织开展学校卫生和托幼机构卫生专项监督执法检查，查处学校和托幼机构违法行为。监督检查覆盖率达到100%。</w:t>
      </w:r>
    </w:p>
    <w:p>
      <w:pPr>
        <w:widowControl/>
        <w:shd w:val="clear" w:color="auto" w:fill="FFFFFF"/>
        <w:spacing w:line="375" w:lineRule="atLeast"/>
        <w:ind w:firstLine="480"/>
        <w:jc w:val="left"/>
        <w:rPr>
          <w:rFonts w:ascii="宋体" w:hAnsi="宋体" w:eastAsia="仿宋_GB2312" w:cs="Tahoma"/>
          <w:color w:val="000000"/>
          <w:kern w:val="0"/>
          <w:sz w:val="32"/>
          <w:szCs w:val="32"/>
        </w:rPr>
      </w:pPr>
      <w:r>
        <w:rPr>
          <w:rFonts w:hint="eastAsia" w:ascii="宋体" w:hAnsi="宋体" w:eastAsia="仿宋_GB2312" w:cs="Tahoma"/>
          <w:color w:val="000000"/>
          <w:kern w:val="0"/>
          <w:sz w:val="32"/>
          <w:szCs w:val="32"/>
        </w:rPr>
        <w:t>七、传染病防控监督工作：继续深入开展医疗废弃物和医院污水的专项整治工作，加大对医疗卫生机构预防接种、传染病报告、疫情控制、消毒隔离执行、医疗废弃物处置和病原微生物实验室生物安全监督检查指导力度。开展医院临床用血单位的卫生监督。查处各类违法行为。完成医疗机构单位的建档登记工作。</w:t>
      </w:r>
    </w:p>
    <w:p>
      <w:pPr>
        <w:widowControl/>
        <w:shd w:val="clear" w:color="auto" w:fill="FFFFFF"/>
        <w:spacing w:line="375" w:lineRule="atLeast"/>
        <w:ind w:firstLine="480"/>
        <w:jc w:val="left"/>
        <w:rPr>
          <w:rFonts w:ascii="宋体" w:hAnsi="宋体" w:eastAsia="仿宋_GB2312" w:cs="Tahoma"/>
          <w:color w:val="000000"/>
          <w:kern w:val="0"/>
          <w:sz w:val="32"/>
          <w:szCs w:val="32"/>
        </w:rPr>
      </w:pPr>
      <w:r>
        <w:rPr>
          <w:rFonts w:hint="eastAsia" w:ascii="宋体" w:hAnsi="宋体" w:eastAsia="仿宋_GB2312" w:cs="Tahoma"/>
          <w:color w:val="000000"/>
          <w:kern w:val="0"/>
          <w:sz w:val="32"/>
          <w:szCs w:val="32"/>
        </w:rPr>
        <w:t>八、开展医疗美容专项整治和医疗卫生机构依法执业监督工作，持续严厉打击各类非法行医行为，加大无证行医案件处罚力度，规范无证行医二次以上处罚移送公安机关程序。分层次开展规模以上医疗卫生单位、个体医疗机构和门诊部的监督检查工作，加强急诊岗位、节假日时段和医疗机构擅自改变执业准入条件的监督。加强对社区卫生服务中心（卫生院）的执业管理监督检查。完成医疗机构建档登记工作。</w:t>
      </w:r>
    </w:p>
    <w:p>
      <w:pPr>
        <w:widowControl/>
        <w:shd w:val="clear" w:color="auto" w:fill="FFFFFF"/>
        <w:spacing w:line="375" w:lineRule="atLeast"/>
        <w:ind w:firstLine="480"/>
        <w:jc w:val="left"/>
        <w:rPr>
          <w:rFonts w:ascii="宋体" w:hAnsi="宋体" w:eastAsia="仿宋_GB2312" w:cs="Tahoma"/>
          <w:color w:val="000000"/>
          <w:kern w:val="0"/>
          <w:sz w:val="32"/>
          <w:szCs w:val="32"/>
        </w:rPr>
      </w:pPr>
      <w:r>
        <w:rPr>
          <w:rFonts w:hint="eastAsia" w:ascii="宋体" w:hAnsi="宋体" w:eastAsia="仿宋_GB2312" w:cs="Tahoma"/>
          <w:color w:val="000000"/>
          <w:kern w:val="0"/>
          <w:sz w:val="32"/>
          <w:szCs w:val="32"/>
        </w:rPr>
        <w:t>九、餐具集中消毒单位及消毒产品监督工作。开展餐饮具集中消毒单位专项监督检查，会同疾控中心完成消毒餐饮具卫生质量集中抽检工作，及时上报专项监督检查情况和抽检结果。加强消毒产品生产企业的日常监管，强化消毒产品生产经营环节的监督，查处违法生产经营消毒产品的行为。</w:t>
      </w:r>
    </w:p>
    <w:p>
      <w:pPr>
        <w:widowControl/>
        <w:shd w:val="clear" w:color="auto" w:fill="FFFFFF"/>
        <w:spacing w:line="375" w:lineRule="atLeast"/>
        <w:ind w:firstLine="480"/>
        <w:jc w:val="left"/>
        <w:rPr>
          <w:rFonts w:ascii="宋体" w:hAnsi="宋体" w:eastAsia="仿宋_GB2312" w:cs="Tahoma"/>
          <w:color w:val="000000"/>
          <w:kern w:val="0"/>
          <w:sz w:val="32"/>
          <w:szCs w:val="32"/>
        </w:rPr>
      </w:pPr>
      <w:r>
        <w:rPr>
          <w:rFonts w:hint="eastAsia" w:ascii="宋体" w:hAnsi="宋体" w:eastAsia="仿宋_GB2312" w:cs="Tahoma"/>
          <w:color w:val="000000"/>
          <w:kern w:val="0"/>
          <w:sz w:val="32"/>
          <w:szCs w:val="32"/>
        </w:rPr>
        <w:t>十、放射诊疗与职业卫生监督工作。开展放射诊疗机构预防性监督、放射工作场所防护监测、个人剂量计管理，岗前、岗中、离岗体检培训及档案管理及受检人员防护制度管理的监督检查工作，查处违法违规行为，无证单位立案率100%。开展职业卫生单位监督检查工作，做好职业卫生单位建档工作，建档率100%；加大执法力度，督促职业卫生单位制定职业病防治计划和实施方案；建立健全职业卫生各项制度、操作规程；职业卫生单位对劳动者岗前、岗中 、离岗健康检查、劳动合同告知、告知检查结果工作；职业卫生单位对职业危害因素每年进行监测工作；每年对劳动者进行至少一次职业卫生培训，职业卫生管理人员接受上级培训工作；为劳动者配备防治职业危害因素的防护用品及正确佩戴工作；在存在职业危害因素岗位设置降低造成职业危害的防护设施工作；在厂区设施公告栏，在职业危害岗位设置警示标识工作。</w:t>
      </w:r>
    </w:p>
    <w:p>
      <w:pPr>
        <w:widowControl/>
        <w:shd w:val="clear" w:color="auto" w:fill="FFFFFF"/>
        <w:spacing w:line="375" w:lineRule="atLeast"/>
        <w:ind w:firstLine="480"/>
        <w:jc w:val="left"/>
        <w:rPr>
          <w:rFonts w:ascii="宋体" w:hAnsi="宋体" w:eastAsia="仿宋_GB2312" w:cs="Tahoma"/>
          <w:color w:val="000000"/>
          <w:kern w:val="0"/>
          <w:sz w:val="32"/>
          <w:szCs w:val="32"/>
        </w:rPr>
      </w:pPr>
      <w:r>
        <w:rPr>
          <w:rFonts w:hint="eastAsia" w:ascii="宋体" w:hAnsi="宋体" w:eastAsia="仿宋_GB2312" w:cs="Tahoma"/>
          <w:color w:val="000000"/>
          <w:kern w:val="0"/>
          <w:sz w:val="32"/>
          <w:szCs w:val="32"/>
        </w:rPr>
        <w:t>十一、计划生育和中医医疗机构监督工作。深入开展打击“两非 ”行为专项执法检查；开展计划生育技术服务机构执法检查活动，检查覆盖面100%，查办各类违法行为；完成人类生殖技术服务机构的监督检查（梨树县域内没有）；开展中医医疗机构执业管理专项检查，各类中医医疗机构覆盖面100%。</w:t>
      </w:r>
    </w:p>
    <w:p>
      <w:pPr>
        <w:adjustRightInd w:val="0"/>
        <w:snapToGrid w:val="0"/>
        <w:spacing w:line="360" w:lineRule="auto"/>
        <w:ind w:firstLine="579" w:firstLineChars="181"/>
        <w:rPr>
          <w:rFonts w:ascii="仿宋_GB2312" w:eastAsia="仿宋_GB2312"/>
          <w:sz w:val="32"/>
          <w:szCs w:val="32"/>
        </w:rPr>
      </w:pPr>
      <w:r>
        <w:rPr>
          <w:rFonts w:hint="eastAsia" w:ascii="仿宋_GB2312" w:eastAsia="仿宋_GB2312"/>
          <w:sz w:val="32"/>
          <w:szCs w:val="32"/>
        </w:rPr>
        <w:t xml:space="preserve">十二、国家双随机和政府双随机工作;国家监督抽检双随机工作任务下发后，各监督执法人员按照国家个国家双随机抽取到的执法人员，按时按照所对应的被抽取单位进行监督检查，并在一周内将监督检查结果上报，对执法全过程实行记录，留存执法全过程视频和照片、执法文书；认真完成政府双随机一公开工作，按照县政府的统一安排，每个季度进行一次政府 “双随机、一公开”工作；大家按照单位每个季度双随机抽取的执法人员和被抽取单位名单，及时完成“双随机、一公开”工作，并在一周内在国家企业信用信息公式系统和互联网（+)系统上报监督检查结果；业务办公室负责制订双随机计划、完善抽查事项清单；建立执法人员名录库；建立抽查对象名录库； </w:t>
      </w:r>
    </w:p>
    <w:p>
      <w:pPr>
        <w:adjustRightInd w:val="0"/>
        <w:snapToGrid w:val="0"/>
        <w:spacing w:line="360" w:lineRule="auto"/>
        <w:ind w:firstLine="581" w:firstLineChars="181"/>
        <w:rPr>
          <w:rFonts w:ascii="仿宋_GB2312" w:eastAsia="仿宋_GB2312"/>
          <w:b/>
          <w:sz w:val="32"/>
          <w:szCs w:val="32"/>
        </w:rPr>
      </w:pPr>
      <w:r>
        <w:rPr>
          <w:rFonts w:hint="eastAsia" w:ascii="仿宋_GB2312" w:eastAsia="仿宋_GB2312"/>
          <w:b/>
          <w:sz w:val="32"/>
          <w:szCs w:val="32"/>
        </w:rPr>
        <w:t>十三、推进执法全过程记录制度建设</w:t>
      </w:r>
    </w:p>
    <w:p>
      <w:pPr>
        <w:adjustRightInd w:val="0"/>
        <w:snapToGrid w:val="0"/>
        <w:spacing w:line="360" w:lineRule="auto"/>
        <w:ind w:firstLine="579" w:firstLineChars="181"/>
        <w:rPr>
          <w:rFonts w:ascii="仿宋_GB2312" w:eastAsia="仿宋_GB2312"/>
          <w:sz w:val="32"/>
          <w:szCs w:val="32"/>
        </w:rPr>
      </w:pPr>
      <w:r>
        <w:rPr>
          <w:rFonts w:hint="eastAsia" w:ascii="仿宋_GB2312" w:eastAsia="仿宋_GB2312"/>
          <w:sz w:val="32"/>
          <w:szCs w:val="32"/>
        </w:rPr>
        <w:t>建立、健全执法全过程记录制度；在监督执法过程中全面启动手持执法终端设备的使用；及时储存执法全过程视频资料。实行执法全过程记录。</w:t>
      </w:r>
    </w:p>
    <w:p>
      <w:pPr>
        <w:adjustRightInd w:val="0"/>
        <w:snapToGrid w:val="0"/>
        <w:spacing w:line="360" w:lineRule="auto"/>
        <w:ind w:firstLine="579" w:firstLineChars="181"/>
        <w:rPr>
          <w:rFonts w:ascii="仿宋_GB2312" w:eastAsia="仿宋_GB2312"/>
          <w:sz w:val="32"/>
          <w:szCs w:val="32"/>
        </w:rPr>
      </w:pPr>
      <w:r>
        <w:rPr>
          <w:rFonts w:hint="eastAsia" w:ascii="仿宋_GB2312" w:eastAsia="仿宋_GB2312"/>
          <w:sz w:val="32"/>
          <w:szCs w:val="32"/>
        </w:rPr>
        <w:t>十四、行政执法报备工作：各监督执法人员在检查公共场所和职业卫生单位之前，需要在我要执法报备系统上报备要检查的单位，并在检查中让被检查对象进行确认和给与评价，并在报备系统内将检查结果录入。软办定期将对单位检查报备情况给予通报，不进行报备的行政检查无效。目前报备系统内暂无医疗、学校和供水单位的名单，所以这三类单位的检查暂时无需报备。</w:t>
      </w:r>
    </w:p>
    <w:p>
      <w:pPr>
        <w:adjustRightInd w:val="0"/>
        <w:snapToGrid w:val="0"/>
        <w:spacing w:line="360" w:lineRule="auto"/>
        <w:rPr>
          <w:rFonts w:ascii="仿宋_GB2312" w:eastAsia="仿宋_GB2312"/>
          <w:b/>
          <w:sz w:val="32"/>
          <w:szCs w:val="32"/>
        </w:rPr>
      </w:pPr>
      <w:r>
        <w:rPr>
          <w:rFonts w:hint="eastAsia" w:ascii="仿宋_GB2312" w:eastAsia="仿宋_GB2312"/>
          <w:b/>
          <w:sz w:val="32"/>
          <w:szCs w:val="32"/>
        </w:rPr>
        <w:t xml:space="preserve">   十五、提高行政执法案件数量和质量</w:t>
      </w:r>
    </w:p>
    <w:p>
      <w:pPr>
        <w:adjustRightInd w:val="0"/>
        <w:snapToGrid w:val="0"/>
        <w:spacing w:line="360" w:lineRule="auto"/>
        <w:ind w:firstLine="579" w:firstLineChars="181"/>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各科办理的每一个案件，都要做到规范使用执法文书、程序合法；做到案卷内负责人身份证复印件、营业执照复印件、许可证复印件、社会统一信用代码证复印件（法人单位）；照片、全过程视频缺一不可；并对执法案卷实行1周内在信息报告系统和互联网（+）系统、双公示系统上报工作。如果不知道如何上报，及时与宋所联系，但是不能迟报。</w:t>
      </w:r>
    </w:p>
    <w:p>
      <w:pPr>
        <w:widowControl/>
        <w:shd w:val="clear" w:color="auto" w:fill="FFFFFF"/>
        <w:spacing w:line="375" w:lineRule="atLeast"/>
        <w:ind w:firstLine="480"/>
        <w:jc w:val="left"/>
        <w:rPr>
          <w:rFonts w:ascii="宋体" w:hAnsi="宋体" w:eastAsia="仿宋_GB2312" w:cs="Tahoma"/>
          <w:color w:val="000000"/>
          <w:kern w:val="0"/>
          <w:sz w:val="18"/>
          <w:szCs w:val="18"/>
        </w:rPr>
      </w:pPr>
      <w:r>
        <w:rPr>
          <w:rFonts w:hint="eastAsia" w:ascii="仿宋_GB2312" w:hAnsi="仿宋_GB2312" w:eastAsia="仿宋_GB2312"/>
          <w:color w:val="000000"/>
          <w:kern w:val="0"/>
          <w:sz w:val="32"/>
          <w:szCs w:val="32"/>
        </w:rPr>
        <w:t>十六、做好卫生监督协管指导、督导检查、培训工作。指导卫生监督协管分所开展好食品安全信息报告、学校卫生服务、生活饮用水卫生安全巡查、非法行医和非法采供血信息报告、计划生育相关信息报告、职业卫生巡查六项服务工作。每个季度对乡镇卫生院进行一次指导、督导检查，每年对协管员进行两次培训；协助卫健局做好绩效考核工作；做好监督协管档案材料归档工作。</w:t>
      </w:r>
    </w:p>
    <w:p>
      <w:pPr>
        <w:ind w:firstLine="640" w:firstLineChars="200"/>
        <w:rPr>
          <w:rFonts w:ascii="宋体" w:hAnsi="宋体" w:eastAsia="仿宋_GB2312" w:cs="Tahoma"/>
          <w:color w:val="000000"/>
          <w:kern w:val="0"/>
          <w:sz w:val="18"/>
          <w:szCs w:val="18"/>
        </w:rPr>
      </w:pPr>
      <w:r>
        <w:rPr>
          <w:rFonts w:hint="eastAsia" w:ascii="宋体" w:hAnsi="宋体" w:eastAsia="仿宋_GB2312" w:cs="Tahoma"/>
          <w:color w:val="000000"/>
          <w:kern w:val="0"/>
          <w:sz w:val="32"/>
          <w:szCs w:val="32"/>
        </w:rPr>
        <w:t> </w:t>
      </w:r>
    </w:p>
    <w:p>
      <w:pPr>
        <w:widowControl/>
        <w:shd w:val="clear" w:color="auto" w:fill="FFFFFF"/>
        <w:spacing w:line="375" w:lineRule="atLeast"/>
        <w:jc w:val="left"/>
        <w:rPr>
          <w:rFonts w:ascii="宋体" w:hAnsi="宋体" w:eastAsia="仿宋_GB2312" w:cs="Tahoma"/>
          <w:color w:val="000000"/>
          <w:kern w:val="0"/>
          <w:sz w:val="32"/>
          <w:szCs w:val="32"/>
        </w:rPr>
      </w:pPr>
      <w:r>
        <w:rPr>
          <w:rFonts w:hint="eastAsia" w:ascii="宋体" w:hAnsi="宋体" w:eastAsia="仿宋_GB2312" w:cs="Tahoma"/>
          <w:color w:val="000000"/>
          <w:kern w:val="0"/>
          <w:sz w:val="18"/>
          <w:szCs w:val="18"/>
        </w:rPr>
        <w:t xml:space="preserve">                                 </w:t>
      </w:r>
      <w:r>
        <w:rPr>
          <w:rFonts w:hint="eastAsia" w:ascii="宋体" w:hAnsi="宋体" w:eastAsia="仿宋_GB2312" w:cs="Tahoma"/>
          <w:color w:val="000000"/>
          <w:kern w:val="0"/>
          <w:sz w:val="32"/>
          <w:szCs w:val="32"/>
        </w:rPr>
        <w:t xml:space="preserve">       </w:t>
      </w:r>
    </w:p>
    <w:p>
      <w:pPr>
        <w:widowControl/>
        <w:shd w:val="clear" w:color="auto" w:fill="FFFFFF"/>
        <w:spacing w:line="375" w:lineRule="atLeast"/>
        <w:jc w:val="left"/>
        <w:rPr>
          <w:rFonts w:ascii="宋体" w:hAnsi="宋体" w:eastAsia="仿宋_GB2312" w:cs="Tahoma"/>
          <w:color w:val="000000"/>
          <w:kern w:val="0"/>
          <w:sz w:val="32"/>
          <w:szCs w:val="32"/>
        </w:rPr>
      </w:pPr>
    </w:p>
    <w:p>
      <w:pPr>
        <w:widowControl/>
        <w:shd w:val="clear" w:color="auto" w:fill="FFFFFF"/>
        <w:spacing w:line="375" w:lineRule="atLeast"/>
        <w:ind w:firstLine="4160" w:firstLineChars="1300"/>
        <w:jc w:val="left"/>
        <w:rPr>
          <w:rFonts w:ascii="宋体" w:hAnsi="宋体" w:eastAsia="仿宋_GB2312" w:cs="Tahoma"/>
          <w:color w:val="000000"/>
          <w:kern w:val="0"/>
          <w:sz w:val="32"/>
          <w:szCs w:val="32"/>
        </w:rPr>
      </w:pPr>
      <w:r>
        <w:rPr>
          <w:rFonts w:hint="eastAsia" w:ascii="宋体" w:hAnsi="宋体" w:eastAsia="仿宋_GB2312" w:cs="Tahoma"/>
          <w:color w:val="000000"/>
          <w:kern w:val="0"/>
          <w:sz w:val="32"/>
          <w:szCs w:val="32"/>
        </w:rPr>
        <w:t xml:space="preserve"> </w:t>
      </w:r>
    </w:p>
    <w:p>
      <w:pPr>
        <w:widowControl/>
        <w:shd w:val="clear" w:color="auto" w:fill="FFFFFF"/>
        <w:spacing w:line="375" w:lineRule="atLeast"/>
        <w:ind w:firstLine="4160" w:firstLineChars="1300"/>
        <w:jc w:val="left"/>
        <w:rPr>
          <w:rFonts w:ascii="宋体" w:hAnsi="宋体" w:eastAsia="仿宋_GB2312" w:cs="Tahoma"/>
          <w:color w:val="000000"/>
          <w:kern w:val="0"/>
          <w:sz w:val="32"/>
          <w:szCs w:val="32"/>
        </w:rPr>
      </w:pPr>
    </w:p>
    <w:p>
      <w:pPr>
        <w:widowControl/>
        <w:shd w:val="clear" w:color="auto" w:fill="FFFFFF"/>
        <w:spacing w:line="375" w:lineRule="atLeast"/>
        <w:ind w:firstLine="4160" w:firstLineChars="1300"/>
        <w:jc w:val="left"/>
        <w:rPr>
          <w:rFonts w:ascii="宋体" w:hAnsi="宋体" w:eastAsia="仿宋_GB2312" w:cs="Tahoma"/>
          <w:color w:val="000000"/>
          <w:kern w:val="0"/>
          <w:sz w:val="32"/>
          <w:szCs w:val="32"/>
        </w:rPr>
      </w:pPr>
    </w:p>
    <w:p>
      <w:pPr>
        <w:widowControl/>
        <w:shd w:val="clear" w:color="auto" w:fill="FFFFFF"/>
        <w:spacing w:line="375" w:lineRule="atLeast"/>
        <w:ind w:firstLine="4160" w:firstLineChars="1300"/>
        <w:jc w:val="left"/>
        <w:rPr>
          <w:rFonts w:ascii="宋体" w:hAnsi="宋体" w:eastAsia="仿宋_GB2312" w:cs="Tahoma"/>
          <w:color w:val="000000"/>
          <w:kern w:val="0"/>
          <w:sz w:val="32"/>
          <w:szCs w:val="32"/>
        </w:rPr>
      </w:pPr>
    </w:p>
    <w:p>
      <w:pPr>
        <w:widowControl/>
        <w:shd w:val="clear" w:color="auto" w:fill="FFFFFF"/>
        <w:spacing w:line="375" w:lineRule="atLeast"/>
        <w:ind w:firstLine="4160" w:firstLineChars="1300"/>
        <w:jc w:val="left"/>
        <w:rPr>
          <w:rFonts w:ascii="宋体" w:hAnsi="宋体" w:eastAsia="仿宋_GB2312" w:cs="Tahoma"/>
          <w:color w:val="000000"/>
          <w:kern w:val="0"/>
          <w:sz w:val="32"/>
          <w:szCs w:val="32"/>
        </w:rPr>
      </w:pPr>
      <w:r>
        <w:rPr>
          <w:rFonts w:hint="eastAsia" w:ascii="宋体" w:hAnsi="宋体" w:eastAsia="仿宋_GB2312" w:cs="Tahoma"/>
          <w:color w:val="000000"/>
          <w:kern w:val="0"/>
          <w:sz w:val="32"/>
          <w:szCs w:val="32"/>
        </w:rPr>
        <w:t>梨树县卫生监督所</w:t>
      </w:r>
    </w:p>
    <w:p>
      <w:pPr>
        <w:widowControl/>
        <w:shd w:val="clear" w:color="auto" w:fill="FFFFFF"/>
        <w:spacing w:line="375" w:lineRule="atLeast"/>
        <w:jc w:val="left"/>
        <w:rPr>
          <w:rFonts w:ascii="宋体" w:hAnsi="宋体" w:eastAsia="仿宋_GB2312" w:cs="Tahoma"/>
          <w:color w:val="000000"/>
          <w:kern w:val="0"/>
          <w:sz w:val="32"/>
          <w:szCs w:val="32"/>
        </w:rPr>
      </w:pPr>
      <w:r>
        <w:rPr>
          <w:rFonts w:hint="eastAsia" w:ascii="宋体" w:hAnsi="宋体" w:eastAsia="仿宋_GB2312" w:cs="Tahoma"/>
          <w:color w:val="000000"/>
          <w:kern w:val="0"/>
          <w:sz w:val="32"/>
          <w:szCs w:val="32"/>
        </w:rPr>
        <w:t xml:space="preserve">                           202</w:t>
      </w:r>
      <w:r>
        <w:rPr>
          <w:rFonts w:hint="eastAsia" w:ascii="宋体" w:hAnsi="宋体" w:eastAsia="仿宋_GB2312" w:cs="Tahoma"/>
          <w:color w:val="000000"/>
          <w:kern w:val="0"/>
          <w:sz w:val="32"/>
          <w:szCs w:val="32"/>
          <w:lang w:val="en-US" w:eastAsia="zh-CN"/>
        </w:rPr>
        <w:t>3</w:t>
      </w:r>
      <w:bookmarkStart w:id="0" w:name="_GoBack"/>
      <w:bookmarkEnd w:id="0"/>
      <w:r>
        <w:rPr>
          <w:rFonts w:hint="eastAsia" w:ascii="宋体" w:hAnsi="宋体" w:eastAsia="仿宋_GB2312" w:cs="Tahoma"/>
          <w:color w:val="000000"/>
          <w:kern w:val="0"/>
          <w:sz w:val="32"/>
          <w:szCs w:val="32"/>
        </w:rPr>
        <w:t>年</w:t>
      </w:r>
      <w:r>
        <w:rPr>
          <w:rFonts w:hint="eastAsia" w:ascii="宋体" w:hAnsi="宋体" w:eastAsia="仿宋_GB2312" w:cs="Tahoma"/>
          <w:color w:val="000000"/>
          <w:kern w:val="0"/>
          <w:sz w:val="32"/>
          <w:szCs w:val="32"/>
          <w:lang w:val="en-US" w:eastAsia="zh-CN"/>
        </w:rPr>
        <w:t>1</w:t>
      </w:r>
      <w:r>
        <w:rPr>
          <w:rFonts w:hint="eastAsia" w:ascii="宋体" w:hAnsi="宋体" w:eastAsia="仿宋_GB2312" w:cs="Tahoma"/>
          <w:color w:val="000000"/>
          <w:kern w:val="0"/>
          <w:sz w:val="32"/>
          <w:szCs w:val="32"/>
        </w:rPr>
        <w:t>月</w:t>
      </w:r>
      <w:r>
        <w:rPr>
          <w:rFonts w:hint="eastAsia" w:ascii="宋体" w:hAnsi="宋体" w:eastAsia="仿宋_GB2312" w:cs="Tahoma"/>
          <w:color w:val="000000"/>
          <w:kern w:val="0"/>
          <w:sz w:val="32"/>
          <w:szCs w:val="32"/>
          <w:lang w:val="en-US" w:eastAsia="zh-CN"/>
        </w:rPr>
        <w:t>6</w:t>
      </w:r>
      <w:r>
        <w:rPr>
          <w:rFonts w:hint="eastAsia" w:ascii="宋体" w:hAnsi="宋体" w:eastAsia="仿宋_GB2312" w:cs="Tahoma"/>
          <w:color w:val="000000"/>
          <w:kern w:val="0"/>
          <w:sz w:val="32"/>
          <w:szCs w:val="32"/>
        </w:rPr>
        <w:t>日</w:t>
      </w:r>
    </w:p>
    <w:p/>
    <w:sectPr>
      <w:headerReference r:id="rId3" w:type="default"/>
      <w:footerReference r:id="rId4" w:type="default"/>
      <w:footerReference r:id="rId5" w:type="even"/>
      <w:pgSz w:w="11906" w:h="16838"/>
      <w:pgMar w:top="1440" w:right="1531" w:bottom="1440"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rPr>
      <w:t>7</w:t>
    </w:r>
    <w:r>
      <w:rPr>
        <w:rStyle w:val="6"/>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M1ZThkNzczNzgzNDljZTgxOTRkMWQ1ZWUwNWNiMjIifQ=="/>
  </w:docVars>
  <w:rsids>
    <w:rsidRoot w:val="005A4235"/>
    <w:rsid w:val="001F6E55"/>
    <w:rsid w:val="00272759"/>
    <w:rsid w:val="00317306"/>
    <w:rsid w:val="003A5D67"/>
    <w:rsid w:val="005A4235"/>
    <w:rsid w:val="0065775D"/>
    <w:rsid w:val="00697DBD"/>
    <w:rsid w:val="00762AB1"/>
    <w:rsid w:val="00763D80"/>
    <w:rsid w:val="00772A33"/>
    <w:rsid w:val="008D380A"/>
    <w:rsid w:val="0095787F"/>
    <w:rsid w:val="00A736E6"/>
    <w:rsid w:val="00C44E53"/>
    <w:rsid w:val="00D22E24"/>
    <w:rsid w:val="00D9315E"/>
    <w:rsid w:val="00EE2526"/>
    <w:rsid w:val="070F3B90"/>
    <w:rsid w:val="604D015E"/>
    <w:rsid w:val="63780C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character" w:customStyle="1" w:styleId="7">
    <w:name w:val="页脚 Char"/>
    <w:basedOn w:val="5"/>
    <w:link w:val="2"/>
    <w:qFormat/>
    <w:uiPriority w:val="0"/>
    <w:rPr>
      <w:rFonts w:ascii="Times New Roman" w:hAnsi="Times New Roman" w:eastAsia="宋体" w:cs="Times New Roman"/>
      <w:sz w:val="18"/>
      <w:szCs w:val="18"/>
    </w:rPr>
  </w:style>
  <w:style w:type="character" w:customStyle="1" w:styleId="8">
    <w:name w:val="页眉 Char"/>
    <w:basedOn w:val="5"/>
    <w:link w:val="3"/>
    <w:qFormat/>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6</Pages>
  <Words>3151</Words>
  <Characters>3195</Characters>
  <Lines>23</Lines>
  <Paragraphs>6</Paragraphs>
  <TotalTime>92</TotalTime>
  <ScaleCrop>false</ScaleCrop>
  <LinksUpToDate>false</LinksUpToDate>
  <CharactersWithSpaces>3271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2021-02-28T01:46:00Z</dcterms:created>
  <dc:creator>微软用户</dc:creator>
  <cp:lastModifiedBy>安康</cp:lastModifiedBy>
  <cp:lastPrinted>2021-07-20T02:54:00Z</cp:lastPrinted>
  <dcterms:modified xsi:type="dcterms:W3CDTF">2023-05-08T03:02:26Z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F79F5EE166924DCA938A75AB0851D850_13</vt:lpwstr>
  </property>
</Properties>
</file>