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40" w:lineRule="exact"/>
        <w:jc w:val="center"/>
        <w:rPr>
          <w:rFonts w:hint="eastAsia" w:ascii="SimHei" w:hAnsi="SimHei" w:eastAsia="SimHei" w:cs="SimHei"/>
          <w:b/>
          <w:color w:val="000000"/>
          <w:kern w:val="0"/>
          <w:sz w:val="36"/>
          <w:szCs w:val="36"/>
          <w:shd w:val="clear" w:color="auto" w:fill="FFFFFF"/>
          <w:lang w:val="en-US" w:eastAsia="zh-CN"/>
        </w:rPr>
      </w:pPr>
      <w:r>
        <w:rPr>
          <w:rFonts w:hint="eastAsia" w:ascii="SimHei" w:hAnsi="SimHei" w:eastAsia="SimHei" w:cs="SimHei"/>
          <w:b/>
          <w:color w:val="000000"/>
          <w:kern w:val="0"/>
          <w:sz w:val="36"/>
          <w:szCs w:val="36"/>
          <w:shd w:val="clear" w:color="auto" w:fill="FFFFFF"/>
        </w:rPr>
        <w:t>梨树县农业农村局行政执法全过程记录</w:t>
      </w:r>
      <w:r>
        <w:rPr>
          <w:rFonts w:hint="eastAsia" w:ascii="SimHei" w:hAnsi="SimHei" w:eastAsia="SimHei" w:cs="SimHei"/>
          <w:b/>
          <w:color w:val="000000"/>
          <w:kern w:val="0"/>
          <w:sz w:val="36"/>
          <w:szCs w:val="36"/>
          <w:shd w:val="clear" w:color="auto" w:fill="FFFFFF"/>
          <w:lang w:eastAsia="zh-CN"/>
        </w:rPr>
        <w:t>制度</w:t>
      </w:r>
      <w:bookmarkStart w:id="0" w:name="_GoBack"/>
      <w:bookmarkEnd w:id="0"/>
    </w:p>
    <w:p>
      <w:pPr>
        <w:widowControl/>
        <w:shd w:val="clear" w:color="auto" w:fill="FFFFFF"/>
        <w:spacing w:line="640" w:lineRule="exact"/>
        <w:ind w:firstLine="420"/>
        <w:rPr>
          <w:rFonts w:ascii="SimHei" w:hAnsi="SimHei" w:eastAsia="SimHei" w:cs="SimHei"/>
          <w:b/>
          <w:color w:val="000000"/>
          <w:kern w:val="0"/>
          <w:sz w:val="36"/>
          <w:szCs w:val="36"/>
          <w:shd w:val="clear" w:color="auto" w:fill="FFFFFF"/>
        </w:rPr>
      </w:pPr>
    </w:p>
    <w:p>
      <w:pPr>
        <w:widowControl/>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第一章总则</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一条为推进行政执法全过程记录制度建设，规范行政执法程序，促进行政执法机关严格、规范、公正、文明执法，保障公民、法人和其他社会组织合法权益，根据有关法律法规规定，结合我局实际，制定本办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条本办法所称行政执法，是指具有行政执法权的执法科室、法律法规授权的组织或依法受委托的组织，依据法律、法规和规章实施的行政许可、行政处罚、行政强制、行政征收、行政收费、行政检查等行政行为。</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第三条 本办法所称全过程记录，是指行政执法机构（执法科室）及其执法人员通过文字、音像等记录方式，对执法程序启动、调查取证、审查决定、送达执行、归档管理等行政执法整个过程进行跟踪记录的活动。</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文字记录方式包括向当事人出具的行政执法文书、调查取证相关文书、鉴定意见、专家论证报告、听证报告、内部程序审批表、送达回证等书面记录。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音像记录方式包括采用照相、录音、录像、视频监控等方式进行的记录。</w:t>
      </w:r>
    </w:p>
    <w:p>
      <w:pPr>
        <w:widowControl/>
        <w:shd w:val="clear" w:color="auto" w:fill="FFFFFF"/>
        <w:spacing w:line="640" w:lineRule="exact"/>
        <w:ind w:firstLine="640" w:firstLineChars="200"/>
        <w:rPr>
          <w:rFonts w:ascii="FangSong" w:hAnsi="FangSong" w:eastAsia="FangSong" w:cs="FangSong"/>
          <w:color w:val="000000"/>
          <w:kern w:val="0"/>
          <w:sz w:val="32"/>
          <w:szCs w:val="32"/>
          <w:shd w:val="clear" w:color="auto" w:fill="FFFFFF"/>
        </w:rPr>
      </w:pPr>
      <w:r>
        <w:rPr>
          <w:rFonts w:hint="eastAsia" w:ascii="FangSong" w:hAnsi="FangSong" w:eastAsia="FangSong" w:cs="FangSong"/>
          <w:color w:val="000000"/>
          <w:kern w:val="0"/>
          <w:sz w:val="32"/>
          <w:szCs w:val="32"/>
          <w:shd w:val="clear" w:color="auto" w:fill="FFFFFF"/>
        </w:rPr>
        <w:t>文字与音像记录方式可同时使用，也可分别使用。</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第四条 行政执法机构及其执法人员，对行政执法行为进行音像记录或者全过程音像记录，应采用照相机、录音机、摄像机、执法记录仪、手持执法终端和视频监控等音像记录设备。</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音像记录设备配备坚持厉行节约、从严控制、性能先进、设备配备与履职需要相适应的基本原则，严禁配置与本单位执法业务无关的音像记录设备。</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第五条 行政执法全过程记录应坚持合法、客观、公正的原则。</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行政执法机构及执法人员应根据行政执法行为的性质、种类、现场、阶段不同，采取合法、适当、有效的方式和手段对执法全过程实施记录。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第六条行政执法机构应加强行政执法信息化建设，在行政执法信息系统中全过程进行文字、音像记录，提高执法效率和规范化水平。</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第七条 农业农村局对本行政区域内的行政执法全过程记录实行统一领导。局法规科负责对本行政区域、本系统行政执法全过程记录工作的监督、检查、指导和协调。行政执法机构应根据执法需要配备相应的音像记录设备。</w:t>
      </w:r>
    </w:p>
    <w:p>
      <w:pPr>
        <w:widowControl/>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第二章程序启动的记录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八条行政执法机构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行政执法机构可在受理地点安装视频监控系统，实时记录受理、办理过程。</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第九条 行政执法机构依职权启动一般程序行政执法的，由行政执法人员填写程序启动审批表，报本机关负责人批准。情况紧急的，可先启动行政执法程序，并在行政执法程序启动后24小时内补报。</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程序启动审批表应载明启动原因、当事人基本情况、承办人意见、承办机构意见和行政机关负责人意见。</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第十条 行政执法机构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pPr>
        <w:widowControl/>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第三章  调查与取证的记录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第十一条 行政执法人员应在相关调查笔录中对执法人员数量、姓名、执法证件编号及出示情况进行文字记录，并由当事人或有关在场人员签字或盖章。对调查取证过程进行同期音像记录，并告知当事人。</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第十二条 行政执法人员在执法过程中对告知行政相对人陈述、申辩、申请回避、听证等权利的方式应进行记录。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第十三条 调查、取证可采取以下方式进行文字记录：</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（一）询问当事人或证人，应制作询问笔录等文书；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（二）向有关单位和个人调取书证、物证的，应制作调取证据通知书、证据登记保存清单等文书；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（三）现场检查（勘验）等，应制作现场检查（勘验）笔录等文书；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（四）抽样的，应制作抽查取样通知书及物品清单等文书；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（五）听取当事人陈述和申辩的，应制作权利告知书、陈述申辩笔录等文书；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（六）举行听证会的，应依照听证的规定制作听证全过程记录文书；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（七）指定或委托法定的鉴定机构出具鉴定意见的，鉴定机构应出具鉴定意见书等文书；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（八）法律、法规和规章规定的其他调查方式。</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上述文书均应由行政执法人员、行政相对人及有关人员签字或盖章。</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当事人或有关人员拒绝接受调查和提供证据的，行政执法人员应进行记录。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第十四条 行政执法机构采取现场检查（勘验）、抽样调查和听证取证方式的，应同时进行音像记录，不适宜音像记录的除外。采取其他调查取证方式的，可根据执法需要进行音像记录。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第十五条 在证据可能灭失或以后难以取得的情况下，行政执法机关采取证据保全措施的，应记录以下事项：</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（一）证据保全的启动理由；</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（二）证据保全的具体标的；</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（三）证据保全的形式，包括先行登记保存证据法定文书、复制、音像、鉴定、勘验、制作询问笔录等。</w:t>
      </w:r>
    </w:p>
    <w:p>
      <w:pPr>
        <w:widowControl/>
        <w:numPr>
          <w:ilvl w:val="0"/>
          <w:numId w:val="1"/>
        </w:numPr>
        <w:shd w:val="clear" w:color="auto" w:fill="FFFFFF"/>
        <w:spacing w:line="640" w:lineRule="exact"/>
        <w:ind w:firstLine="643" w:firstLineChars="200"/>
        <w:rPr>
          <w:rFonts w:ascii="FangSong" w:hAnsi="FangSong" w:eastAsia="FangSong" w:cs="FangSong"/>
          <w:b/>
          <w:color w:val="000000"/>
          <w:kern w:val="0"/>
          <w:sz w:val="32"/>
          <w:szCs w:val="32"/>
          <w:shd w:val="clear" w:color="auto" w:fill="FFFFFF"/>
        </w:rPr>
      </w:pPr>
      <w:r>
        <w:rPr>
          <w:rFonts w:hint="eastAsia" w:ascii="FangSong" w:hAnsi="FangSong" w:eastAsia="FangSong" w:cs="FangSong"/>
          <w:b/>
          <w:color w:val="000000"/>
          <w:kern w:val="0"/>
          <w:sz w:val="32"/>
          <w:szCs w:val="32"/>
          <w:shd w:val="clear" w:color="auto" w:fill="FFFFFF"/>
        </w:rPr>
        <w:t>  审查与决定的记录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第十七条 草拟行政执法决定时的文字记录应载明起草人、起草机构审查人、决定形成的法律依据、证据材料、应考虑的有关因素等。</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第十八条 法制机构审查文字记录应载明法制机构审查人员、审查意见和建议。</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第十九条 组织专家论证的，应制作专家论证会议纪要或专家意见书。</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第二十条 集体讨论应制作集体讨论记录或会议纪要。</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第二十一条 负责人审批记录包括负责人签署意见、负责人签名。</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第二十二条 行政执法决定文书应符合法定格式，充分说明执法处理决定的理由，语言要简明准确。</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第二十三条 适用简易程序的，应记录以下内容：</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（一）适用简易程序的事实依据、法律依据的具体条件；</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（二）实施简易程序的程序步骤及法定文书；</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（三）当事人陈述、申辩的记录；</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（四）对当事人陈述、申辩内容的复核及处理，是否采纳的理由；</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（五）依法向所属行政机关备案的内容；</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（六）对符合当场收缴罚款情况的实施过程；</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（七）其他依法记录的内容。</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对容易引起行政争议的简易程序执法行为，行政执法机关应采用适当方式进行音像记录。</w:t>
      </w:r>
    </w:p>
    <w:p>
      <w:pPr>
        <w:widowControl/>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第五章  送达与执行的记录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第二十四条 直接送达行政执法文书，由送达人、受送达人或符合法定条件的签收人在送达回证上签名或盖章。同时使用音像记录等方式记录送达过程。</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第二十五条 邮寄送达行政执法文书应用挂号信或特快专递，留存邮寄送达的登记、付邮凭证和回执。</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第二十六条 留置送达方式应符合法定形式，在送达回证上记明拒收事由和日期，由送达人、见证人签名或盖章，把执法文书留在受送达人的住所，并采用音像记录等方式记录送达过程。</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第二十七条 依法采用委托、转交等方式送达行政执法文书的，应记录委托、转交原因，由送达人、受送达人在送达回证上签名或盖章。</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第二十八条 公告送达应重点记录已经采用其他方式均无法送达的情况以及公告送达的方式和载体，留存书面公告，以适当方式进行音像记录，并在案卷中记明原因和经过。</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第二十九条 行政执法机关作出行政执法决定后，应对当事人履行行政决定的情况进行文字记录。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依法应责令改正的，应按期对改正情况进行核查并进行文字记录，可根据执法需要进行音像记录。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第三十条 当事人逾期不履行行政执法决定需要强制执行的，行政执法机关应在作出强制执行决定前或申请法院强制执行前，按照法定形式制作催告书送达当事人。并采用音像记录等方式记录送达过程。</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当事人进行陈述、申辩的，应对当事人的陈述、申辩中提出的事实、理由和证据，行政执法机关对陈述、申辩内容复核及处理意见进行记录。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第三十一条 经催告，当事人无正当理由逾期仍不履行行政执法决定，具有强制执行权的行政执法机关依法采取以下强制执行方式的，应制作相应文书进行文字记录：</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（一）加处罚款或滞纳金；</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（二）划拨存款、汇款；</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（三）拍卖或依法处理查封、扣押的场所、设施或财物；</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（四）排除妨碍、恢复原状；</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（六）其他强制执行方式。</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采取排除妨碍、恢复原状强制执行方式的，应同时进行音像记录。</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第三十二条行政执法机关在依法催告后，需申请法院强制执行的，应对申请法院强制执行的相关文书、强制执行结果等全过程进行记录。</w:t>
      </w:r>
    </w:p>
    <w:p>
      <w:pPr>
        <w:widowControl/>
        <w:numPr>
          <w:ilvl w:val="0"/>
          <w:numId w:val="2"/>
        </w:numPr>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  执法记录的管理与使用</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第三十三条 行政机关应建立健全行政执法案卷管理制度。</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行政执法机构及其行政执法人员在行政执法行为终结之日起30日内（法律、法规、规章有具体要求的，从其规定），应将行政执法过程中形成的文字和音像记录资料，形成相应案卷，并按照《中华人民共和国档案法》的规定归档、保存。</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音像记录制作完成后，行政执法人员不得自行保管，应在24小时内按要求将信息储存至执法信息系统或专用存储器。</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第三十四条行政执法机构应建立健全执法全过程记录管理和使用等工作制度，明确专门人员负责对全过程记录文字和音像资料的归档、保存和使用。</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第三十五条当事人根据需要申请复制相关执法全过程记录信息的，经行政执法机构负责人同意，可复制使用，依法应保密的除外。</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第三十六条涉及国家秘密、商业秘密和个人隐私的执法记录信息，应严格按照保密工作的有关规定和权限进行管理。</w:t>
      </w:r>
    </w:p>
    <w:p>
      <w:pPr>
        <w:widowControl/>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第七章  监督与责任</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第三十七条 局将行政执法全过程记录制度的建立和实施情况纳入依法行政及行政执法评议考核。</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八条行政执法机构实施执法全过程记录中有下列情形之一的，由上级行政机关或有关部门责令限期整改；情节严重或造成严重后果的，对直接负责的主管人员和其他责任人员依法给予行政处分；构成犯罪的，依法追究刑事责任。</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（一）不制作或不按要求制作执法全过程记录的；</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（二）违反规定泄露执法记录信息造成严重后果的；</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（三）故意毁损，随意删除、修改执法全过程中文字或音像记录信息的；</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（四）不按规定储存或维护致使执法记录损毁、丢失，造成严重后果的；</w:t>
      </w:r>
    </w:p>
    <w:p>
      <w:pPr>
        <w:widowControl/>
        <w:shd w:val="clear" w:color="auto" w:fill="FFFFFF"/>
        <w:spacing w:line="640" w:lineRule="exact"/>
        <w:ind w:firstLine="42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（五）其他违反执法全过程记录规定，造成严重后果的。</w:t>
      </w:r>
    </w:p>
    <w:p>
      <w:pPr>
        <w:widowControl/>
        <w:shd w:val="clear" w:color="auto" w:fill="FFFFFF"/>
        <w:spacing w:line="640" w:lineRule="exact"/>
        <w:ind w:firstLine="643" w:firstLineChars="200"/>
        <w:rPr>
          <w:rFonts w:ascii="FangSong" w:hAnsi="FangSong" w:eastAsia="FangSong" w:cs="FangSong"/>
          <w:color w:val="000000"/>
          <w:sz w:val="32"/>
          <w:szCs w:val="32"/>
        </w:rPr>
      </w:pPr>
      <w:r>
        <w:rPr>
          <w:rFonts w:hint="eastAsia" w:ascii="FangSong" w:hAnsi="FangSong" w:eastAsia="FangSong" w:cs="FangSong"/>
          <w:b/>
          <w:color w:val="000000"/>
          <w:kern w:val="0"/>
          <w:sz w:val="32"/>
          <w:szCs w:val="32"/>
          <w:shd w:val="clear" w:color="auto" w:fill="FFFFFF"/>
        </w:rPr>
        <w:t>第八章  附则</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第三十九条 行政执法机关办理行政执法事项，应健全内部工作程序，全程记录内部审批流程，明确承办人、审核人、批准人，按照行政执法的依据、条件和程序，由承办人提出意见和理由，经审核人审核后，由批准人批准。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640" w:lineRule="exact"/>
        <w:ind w:firstLine="640" w:firstLineChars="200"/>
        <w:rPr>
          <w:rFonts w:ascii="FangSong" w:hAnsi="FangSong" w:eastAsia="FangSong" w:cs="FangSong"/>
          <w:color w:val="000000"/>
          <w:sz w:val="32"/>
          <w:szCs w:val="32"/>
        </w:rPr>
      </w:pPr>
      <w:r>
        <w:rPr>
          <w:rFonts w:hint="eastAsia" w:ascii="FangSong" w:hAnsi="FangSong" w:eastAsia="FangSong" w:cs="FangSong"/>
          <w:color w:val="000000"/>
          <w:kern w:val="0"/>
          <w:sz w:val="32"/>
          <w:szCs w:val="32"/>
          <w:shd w:val="clear" w:color="auto" w:fill="FFFFFF"/>
        </w:rPr>
        <w:t>第四十一条 本办法自2020年1月1日起施行。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FangSong">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B2BD9A"/>
    <w:multiLevelType w:val="singleLevel"/>
    <w:tmpl w:val="5DB2BD9A"/>
    <w:lvl w:ilvl="0" w:tentative="0">
      <w:start w:val="4"/>
      <w:numFmt w:val="chineseCounting"/>
      <w:suff w:val="nothing"/>
      <w:lvlText w:val="第%1章"/>
      <w:lvlJc w:val="left"/>
    </w:lvl>
  </w:abstractNum>
  <w:abstractNum w:abstractNumId="1">
    <w:nsid w:val="5DB2BDF8"/>
    <w:multiLevelType w:val="singleLevel"/>
    <w:tmpl w:val="5DB2BDF8"/>
    <w:lvl w:ilvl="0" w:tentative="0">
      <w:start w:val="6"/>
      <w:numFmt w:val="chineseCounting"/>
      <w:suff w:val="nothing"/>
      <w:lvlText w:val="第%1章"/>
      <w:lvlJc w:val="left"/>
      <w:rPr>
        <w:b/>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k5ZWZlYmVhZTM0Nzk4OWU0MGE0YWQ4MDIwYTQ1OWEifQ=="/>
  </w:docVars>
  <w:rsids>
    <w:rsidRoot w:val="043F0861"/>
    <w:rsid w:val="043F0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2023-05-08T01:15:00Z</dcterms:created>
  <dc:creator>༊྄ཻᏴ࿆Ꮻ࿆Ꭶ࿆Ꮥ࿆࿐</dc:creator>
  <cp:lastModifiedBy>༊྄ཻᏴ࿆Ꮻ࿆Ꭶ࿆Ꮥ࿆࿐</cp:lastModifiedBy>
  <dcterms:modified xsi:type="dcterms:W3CDTF">2023-05-08T01:16:33Z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54D1357663A841BE9A3AF0B571F0AF9A_11</vt:lpwstr>
  </property>
</Properties>
</file>