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pPr>
        <w:spacing w:line="300" w:lineRule="exact"/>
        <w:jc w:val="center"/>
        <w:rPr>
          <w:rFonts w:hint="eastAsia" w:ascii="Times New Roman" w:hAnsi="Times New Roman" w:eastAsia="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w:t>
      </w:r>
      <w:r>
        <w:rPr>
          <w:rFonts w:hint="eastAsia" w:ascii="方正小标宋简体" w:hAnsi="方正小标宋简体" w:eastAsia="方正小标宋简体" w:cs="方正小标宋简体"/>
          <w:sz w:val="44"/>
          <w:szCs w:val="44"/>
          <w:lang w:val="en-US" w:eastAsia="zh-CN"/>
        </w:rPr>
        <w:t>调解</w:t>
      </w:r>
      <w:r>
        <w:rPr>
          <w:rFonts w:hint="eastAsia" w:ascii="方正小标宋简体" w:hAnsi="方正小标宋简体" w:eastAsia="方正小标宋简体" w:cs="方正小标宋简体"/>
          <w:sz w:val="44"/>
          <w:szCs w:val="44"/>
        </w:rPr>
        <w:t>书</w:t>
      </w:r>
    </w:p>
    <w:p>
      <w:pPr>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4</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13</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抚松县松江河某有限公司</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住所地：</w:t>
      </w:r>
      <w:r>
        <w:rPr>
          <w:rFonts w:hint="eastAsia" w:eastAsia="仿宋_GB2312" w:cs="Times New Roman"/>
          <w:b w:val="0"/>
          <w:bCs w:val="0"/>
          <w:sz w:val="32"/>
          <w:szCs w:val="32"/>
          <w:u w:val="none"/>
          <w:lang w:val="en-US" w:eastAsia="zh-CN"/>
        </w:rPr>
        <w:t>抚松县松江河镇某街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w:t>
      </w:r>
      <w:r>
        <w:rPr>
          <w:rFonts w:hint="eastAsia" w:eastAsia="仿宋_GB2312" w:cs="Times New Roman"/>
          <w:b w:val="0"/>
          <w:bCs w:val="0"/>
          <w:sz w:val="32"/>
          <w:szCs w:val="32"/>
          <w:u w:val="none"/>
          <w:lang w:val="en-US" w:eastAsia="zh-CN"/>
        </w:rPr>
        <w:t>李X生</w:t>
      </w:r>
      <w:r>
        <w:rPr>
          <w:rFonts w:hint="eastAsia" w:ascii="Times New Roman" w:hAnsi="Times New Roman" w:eastAsia="仿宋_GB2312" w:cs="Times New Roman"/>
          <w:b w:val="0"/>
          <w:bCs w:val="0"/>
          <w:sz w:val="32"/>
          <w:szCs w:val="32"/>
          <w:u w:val="none"/>
          <w:lang w:val="en-US" w:eastAsia="zh-CN"/>
        </w:rPr>
        <w:t>，男，汉族，19</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日出生，现住吉林省</w:t>
      </w:r>
      <w:r>
        <w:rPr>
          <w:rFonts w:hint="eastAsia" w:eastAsia="仿宋_GB2312" w:cs="Times New Roman"/>
          <w:b w:val="0"/>
          <w:bCs w:val="0"/>
          <w:sz w:val="32"/>
          <w:szCs w:val="32"/>
          <w:u w:val="none"/>
          <w:lang w:val="en-US" w:eastAsia="zh-CN"/>
        </w:rPr>
        <w:t>抚松县XXXX</w:t>
      </w:r>
      <w:r>
        <w:rPr>
          <w:rFonts w:hint="eastAsia" w:ascii="Times New Roman" w:hAnsi="Times New Roman" w:eastAsia="仿宋_GB2312" w:cs="Times New Roman"/>
          <w:b w:val="0"/>
          <w:bCs w:val="0"/>
          <w:sz w:val="32"/>
          <w:szCs w:val="32"/>
          <w:u w:val="none"/>
          <w:lang w:val="en-US" w:eastAsia="zh-CN"/>
        </w:rPr>
        <w:t>，身份证号码为220621</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，联系方式为138</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被申请人：梨树县市场监督管理局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法定代表人：陶维民，职务：梨树县市场监督管理局局长。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w:t>
      </w:r>
      <w:r>
        <w:rPr>
          <w:rFonts w:hint="eastAsia" w:ascii="Times New Roman" w:hAnsi="Times New Roman" w:eastAsia="仿宋_GB2312" w:cs="Times New Roman"/>
          <w:b w:val="0"/>
          <w:bCs w:val="0"/>
          <w:sz w:val="32"/>
          <w:szCs w:val="32"/>
          <w:u w:val="none"/>
          <w:lang w:val="en-US" w:eastAsia="zh-CN"/>
        </w:rPr>
        <w:t>抚松县</w:t>
      </w:r>
      <w:r>
        <w:rPr>
          <w:rFonts w:hint="eastAsia" w:eastAsia="仿宋_GB2312" w:cs="Times New Roman"/>
          <w:b w:val="0"/>
          <w:bCs w:val="0"/>
          <w:sz w:val="32"/>
          <w:szCs w:val="32"/>
          <w:u w:val="none"/>
          <w:lang w:val="en-US" w:eastAsia="zh-CN"/>
        </w:rPr>
        <w:t>松江河某有限公司</w:t>
      </w:r>
      <w:r>
        <w:rPr>
          <w:rFonts w:hint="default" w:ascii="Times New Roman" w:hAnsi="Times New Roman" w:eastAsia="仿宋_GB2312" w:cs="Times New Roman"/>
          <w:b w:val="0"/>
          <w:bCs w:val="0"/>
          <w:sz w:val="32"/>
          <w:szCs w:val="32"/>
          <w:u w:val="none"/>
          <w:lang w:val="en-US" w:eastAsia="zh-CN"/>
        </w:rPr>
        <w:t>对被申请人梨树县市场监督管理局作出的梨市监处罚[2024]</w:t>
      </w:r>
      <w:r>
        <w:rPr>
          <w:rFonts w:hint="eastAsia"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u w:val="none"/>
          <w:lang w:val="en-US" w:eastAsia="zh-CN"/>
        </w:rPr>
        <w:t>5号《行政处罚决定书》不服，于2024年</w:t>
      </w:r>
      <w:r>
        <w:rPr>
          <w:rFonts w:hint="eastAsia" w:eastAsia="仿宋_GB2312" w:cs="Times New Roman"/>
          <w:b w:val="0"/>
          <w:bCs w:val="0"/>
          <w:sz w:val="32"/>
          <w:szCs w:val="32"/>
          <w:u w:val="none"/>
          <w:lang w:val="en-US" w:eastAsia="zh-CN"/>
        </w:rPr>
        <w:t>3</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4</w:t>
      </w:r>
      <w:r>
        <w:rPr>
          <w:rFonts w:hint="default" w:ascii="Times New Roman" w:hAnsi="Times New Roman" w:eastAsia="仿宋_GB2312" w:cs="Times New Roman"/>
          <w:b w:val="0"/>
          <w:bCs w:val="0"/>
          <w:sz w:val="32"/>
          <w:szCs w:val="32"/>
          <w:u w:val="none"/>
          <w:lang w:val="en-US" w:eastAsia="zh-CN"/>
        </w:rPr>
        <w:t>日向梨树县人民政府申请行政复议，本机关依法已予以受理。因本案</w:t>
      </w:r>
      <w:r>
        <w:rPr>
          <w:rFonts w:hint="default" w:ascii="Times New Roman" w:hAnsi="Times New Roman" w:eastAsia="仿宋_GB2312" w:cs="Times New Roman"/>
          <w:sz w:val="32"/>
          <w:szCs w:val="32"/>
        </w:rPr>
        <w:t>案情重大</w:t>
      </w:r>
      <w:r>
        <w:rPr>
          <w:rFonts w:hint="default" w:ascii="Times New Roman" w:hAnsi="Times New Roman" w:eastAsia="仿宋_GB2312" w:cs="Times New Roman"/>
          <w:b w:val="0"/>
          <w:bCs w:val="0"/>
          <w:sz w:val="32"/>
          <w:szCs w:val="32"/>
          <w:u w:val="none"/>
          <w:lang w:val="en-US" w:eastAsia="zh-CN"/>
        </w:rPr>
        <w:t>，于2024年</w:t>
      </w:r>
      <w:r>
        <w:rPr>
          <w:rFonts w:hint="eastAsia" w:eastAsia="仿宋_GB2312" w:cs="Times New Roman"/>
          <w:b w:val="0"/>
          <w:bCs w:val="0"/>
          <w:sz w:val="32"/>
          <w:szCs w:val="32"/>
          <w:u w:val="none"/>
          <w:lang w:val="en-US" w:eastAsia="zh-CN"/>
        </w:rPr>
        <w:t>4</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23</w:t>
      </w:r>
      <w:r>
        <w:rPr>
          <w:rFonts w:hint="default" w:ascii="Times New Roman" w:hAnsi="Times New Roman" w:eastAsia="仿宋_GB2312" w:cs="Times New Roman"/>
          <w:b w:val="0"/>
          <w:bCs w:val="0"/>
          <w:sz w:val="32"/>
          <w:szCs w:val="32"/>
          <w:u w:val="none"/>
          <w:lang w:val="en-US" w:eastAsia="zh-CN"/>
        </w:rPr>
        <w:t>日组织召开听证会。现已审理终结。</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申请人请求：请求撤销梨树县市场监督管理局梨市监处罚[2024]</w:t>
      </w:r>
      <w:r>
        <w:rPr>
          <w:rFonts w:hint="eastAsia"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u w:val="none"/>
          <w:lang w:val="en-US" w:eastAsia="zh-CN"/>
        </w:rPr>
        <w:t>5号《行政处罚决定书》。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称：申请人自成立以来，一向遵守国家法律法规，依法纳税，从未受过任何行政处罚，而且多次接受省市县的检查，多次受到表彰。在此次吉林省市场监督管理厅和梨树县市场监督管理局例行检查过程中，申请人积极配合监督检查工作。在检查中发现的问题被被申请人定性为“情节严重”而执法处罚，申请人不服。一、被申请人梨树县市场监管局认为申请人在“2023年10月7日至2023年10月10日期间共充装钢瓶724支，其中，未按照规定实施气瓶充装前后检查记录制度的气瓶640支”。真实情况是因为我单位配送车携带的充装记录因需要按记录做入户安检，所以配送车上携带的那部分记录在检查时未能及时提供，全部为有档案信息的钢瓶，并有配送信息（记录已收回，共361支，已全部补登到气瓶可追溯系统）。原始记录在听证时已经交给被申请人。网络信号不好产生上传信息误差。我单位使用的是“蓝兴”气瓶可追溯系统。购买软件前，软件公司介绍说能够实现用户档案和灌装记录实时在线可查。通过一个阶段的使用情况看，由于我单位地理位置偏僻，通信信号不好，该系统在我单位使用却存在上传数据丢失和重复现象，针对这个问题，申请人一直在与软件开发单位联系解决。梨树市监局检查后，我单位针对此问题立即进行了整改，我们又增加了一名现场记录人员，并与联通公司协调畅通了网络信号，解决了记录不全问题。整改情况：目前手写记录已装订成册，实行档案管理。自有产权钢瓶档案和充装及检查信息全部录入可追溯平台，可上网核实。（网址 http://152.136.145.64:8082/index/sy网查询，用户名：某生活燃料，密码XXXXXXX)。非自有产权钢瓶不予充装，用户同意签署托管协议后，我们建立钢瓶档案再充装。同时积极召回无自闭阀钢瓶，免费为用户更换带自闭阀钢瓶。检查时未找到的记录和网传丢失的钢瓶信息只有279支，并非 500 支以上。二、申请人单位库房有5只气液双向阀空钢瓶，因“没有充装记录无法核实充装次数”而定罪属实冤枉。这5只钢瓶是我单位自有钢瓶，钢瓶出厂日期是 2021年的，是为用户为“鲁能项目部食堂”定向采购的，该用户自2022年年底已不再使用“双嘴”气瓶，申请人收回后放在待检空瓶间再未使用。有证明人作证，证明材料在听证时已交给被申请人。即便是违法也属于主动停止了违法行为，并非明知故犯。三、梨树市监局2023年10月27日下午对申请人再次检查，发现“13 只未办理使用登记的钢瓶”。这13只钢瓶是10月27日下午我单位站内的充装记录，定性为“未办理使用登记的钢瓶”实属牵强。根据吉林省住房和城乡建设厅、公安厅、交通运输厅、商务厅、应急管理厅、市场监督管理厅和消防救援总队七部门联发文件（吉建联发〔2023〕33号）要求，到2024年年底前全面实现自有钢瓶充装和可追溯管控，申请人也正在按照文件要求抓紧时间推进，原因是这13只钢瓶还处于检验合格期内且扶手没有拉二维码标签的孔，申述人已经与标签定制单位购买了捆绑式二维码标签，梨树市监局检查时，这样的二维码还未到货，但已经进行了手写登记，全部认定为是未办理使用登记有些牵强。截止到 2023年底，申请人单位所有用户的钢瓶都实现了二维码标识，并签署了用气协议，非本单位产权钢瓶签署了托管协议。做到了没有我单位二维码的钢瓶一律不予充装。四、抚松县市场监管局为我单位出具了《关于对抚松县松江河某有限公司整改情况现场复查情况说明》，证明申请人单位存在的问题已经全部整改完毕。综上所述，申请人认为我单位正在积极响应国家号召，以时时放心不下的主观责任感，认真落实国务院安全生产委员会（安委【2023】3号）和省（吉建联发〔2023〕33号）文件精神，务必做到2024年底前全面实现自有钢瓶充装和可追溯管控目标，在生产经营过程中，我们没有主观规避法律法规监管现象，请梨树县人民政府同意申请人提出的复议请求为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称：（一）针对申请人提出的“检查时未找到的记录和网传丢失的钢瓶信息只有279支，并非500支以上”，答复如下：吉林省市场监督管理厅的执法人员在该公司检查时，制作了现场检查笔录，询问调查笔录，现场调取了该公司气瓶充装记录，同时调取了充装车间2023年10月7日至2023年10月10日的监控视频，经执法人员比对，申请人未按照规定实施气瓶充装记录的气瓶达640支。在2023年10月13日和2023年10月27日对申请人的法定代表人李X生的询问笔录中，李X生也承认了未按规定实施气瓶重装前后检查记录制度的气瓶共计640支次，在2023年10月13日的询问笔录中，询问了李X生是否还有其他检查记录，其也明确表示没有了。另外，申请人提出的“配送车携带的充装记录因需要按记录做入户安检，所以在检查时未能提供”不符合实际，因气瓶充装前后检查记录表和气瓶追溯系统都是用来在充装场所记录充装气瓶的相关信息，申请人说由配送车辆携带，是不符合常理的。因此其在听证会上提供的“未能及时提供的手写记录”，我局不予采纳。申请人提出的“网络信号不好产生上传信息误差导致了部分上传数据丢失”，我局认为，即使有网络信号问题，也不能成为当事人缺少记录数据的理由，其完全可以通过检查对比上传记录等方式进行对比后，重新上传或通过纸质记录方式补充缺失的记录。因此，我局认定申请人未按照规定实施气瓶充装记录的气瓶达640支（次）的事实清楚、证据充分、定性准确。（二）申请人提出的“5支气液双相瓶2022年底已不再使用，有证人作证并已提交材料”，答复如下：我局认为，一是5支气液双相瓶被查处时位于气瓶贮存间，按照《气瓶安全技术规程》“8.5.6不合格气瓶的处理”的规定，对于不合格气瓶应当依法履行报废义务，而不能将不合格气瓶与其他合格气瓶混放在气瓶贮存间；二是根据2023年10月13日对于李X生的询问笔录中可知，其最近一次充装5支气液双向瓶的时间在“（2023年的）6月份或7月份左右”，根据2023年10月13日对站长兼充气工夏X君的询问可知，对其最近一次充装时间是“大约在（2023年的）6月份左右”，与申请人在行政复议申请中说的“2022年年底已不再使用”明显不符；三是申请人提供的“证明人作证材料”中，仅证明了“2023年年初以来，本餐厅（长白山华美胜地滑雪场餐厅）未使用过”，该证据并不能证明申请人自2023年以来未充装该5支气液双相瓶。因此，我局认定申请人对5支不符合气瓶安全技术规程要求的气液双相瓶进行了充装事实清楚、证据充分、定性准确。申请人提出的“主动停止违法行为”和“并非明知故犯”的解释，我局认为，一是主动停止被查处的违法行为是申请人应有的义务，二是对违法行为的查处不以违法行为人明知故犯为前提，三是是否明知故犯既不是法定的应由被申请人进行证明的内容，也不是裁量规定中法定的必须从轻处罚的理由，四是《气瓶安全技术规程》中对充装过程的规定是为了保障气瓶充装过程安全的基本规定之一，申请人作为气瓶充装单位，不但不熟知规定要求更是未做好对不合格气瓶的处理工作，以及不充装不符合安全技术规程的气瓶，因此为防止造成更大的危害后果，更应当吊销其气瓶充装许可。因此该解释不能成为申请人不违法或者必须对申请人从轻处罚的理由。（三）申请人提出的“13只未办理使用登记的钢瓶实际已经办理了使用登记，且属于本单位产权钢瓶”，我局认为，一是根据申请人的法定代表人李X生在2023年10月27日的询问笔录中承认，申请人于2023年10月27日充装的13支次气瓶，其“产权是老百姓自己的”，即气瓶并非申请人办理使用登记的气瓶；二是李X生在2023年10月27日的询问笔录中也解释了为什么会出现充装非本单位自有产权气瓶的情况，是因为“认为这个瓶在检验有效期内，外观完好，合格后就给进行充装”。因此，我局认定申请人于2023年10月27日对不符合《气瓶安全技术规程》的气瓶充装13支次事实清楚、证据充分、定性准确。（四）申请人提出的“问题已经全部整改完毕”，我局认为，是否有效彻底进行问题整改只能作为处罚裁量因素进行一定程度的考虑。该案申请人未按规定实施气瓶充装记录制度的次数多达640支次，风险巨大，且在2023年10月13日因违反《中华人民共和国</w:t>
      </w:r>
      <w:bookmarkStart w:id="0" w:name="_GoBack"/>
      <w:r>
        <w:rPr>
          <w:rFonts w:hint="eastAsia" w:eastAsia="仿宋_GB2312" w:cs="Times New Roman"/>
          <w:b w:val="0"/>
          <w:bCs w:val="0"/>
          <w:sz w:val="32"/>
          <w:szCs w:val="32"/>
          <w:u w:val="none"/>
          <w:lang w:val="en-US" w:eastAsia="zh-CN"/>
        </w:rPr>
        <w:t>特种设备安全法</w:t>
      </w:r>
      <w:bookmarkEnd w:id="0"/>
      <w:r>
        <w:rPr>
          <w:rFonts w:hint="eastAsia" w:eastAsia="仿宋_GB2312" w:cs="Times New Roman"/>
          <w:b w:val="0"/>
          <w:bCs w:val="0"/>
          <w:sz w:val="32"/>
          <w:szCs w:val="32"/>
          <w:u w:val="none"/>
          <w:lang w:val="en-US" w:eastAsia="zh-CN"/>
        </w:rPr>
        <w:t>》第四十九条被查处并下达特种设备安全监察指令书的情况下，于2023年10月27日被查到当日再次违反《中华人民共和国特种设备安全法》第四十九条，并未认识到违法行为的危害后果，情节严重。因此，“问题已经全部整改完毕”不足以作为该案从轻处罚的理由。综上所述，我局作出的处罚决定，认定事实清楚，证据确凿，适用依据正确，程序合法，内容适当，请求予以维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经审理查明：</w:t>
      </w:r>
      <w:r>
        <w:rPr>
          <w:rFonts w:hint="eastAsia" w:eastAsia="仿宋_GB2312" w:cs="Times New Roman"/>
          <w:b w:val="0"/>
          <w:bCs w:val="0"/>
          <w:sz w:val="32"/>
          <w:szCs w:val="32"/>
          <w:u w:val="none"/>
          <w:lang w:val="en-US" w:eastAsia="zh-CN"/>
        </w:rPr>
        <w:t>申请人</w:t>
      </w:r>
      <w:r>
        <w:rPr>
          <w:rFonts w:hint="eastAsia" w:ascii="Times New Roman" w:hAnsi="Times New Roman" w:eastAsia="仿宋_GB2312" w:cs="Times New Roman"/>
          <w:b w:val="0"/>
          <w:bCs w:val="0"/>
          <w:sz w:val="32"/>
          <w:szCs w:val="32"/>
          <w:u w:val="none"/>
          <w:lang w:val="en-US" w:eastAsia="zh-CN"/>
        </w:rPr>
        <w:t>抚松县</w:t>
      </w:r>
      <w:r>
        <w:rPr>
          <w:rFonts w:hint="eastAsia" w:eastAsia="仿宋_GB2312" w:cs="Times New Roman"/>
          <w:b w:val="0"/>
          <w:bCs w:val="0"/>
          <w:sz w:val="32"/>
          <w:szCs w:val="32"/>
          <w:u w:val="none"/>
          <w:lang w:val="en-US" w:eastAsia="zh-CN"/>
        </w:rPr>
        <w:t>松江河某有限公司于</w:t>
      </w:r>
      <w:r>
        <w:rPr>
          <w:rFonts w:hint="eastAsia" w:ascii="Times New Roman" w:hAnsi="Times New Roman" w:eastAsia="仿宋_GB2312" w:cs="Times New Roman"/>
          <w:b w:val="0"/>
          <w:bCs w:val="0"/>
          <w:sz w:val="32"/>
          <w:szCs w:val="32"/>
          <w:u w:val="none"/>
          <w:lang w:val="en-US" w:eastAsia="zh-CN"/>
        </w:rPr>
        <w:t>2023年10月7日至2023年10月10日期间实际气瓶充装量为724支次，其中按照规定实施气瓶充装记录制度</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电脑系统和手写台账</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共计84支</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次</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，未按照规定实施气瓶充装记录制度的气瓶640支</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次</w:t>
      </w:r>
      <w:r>
        <w:rPr>
          <w:rFonts w:hint="eastAsia" w:eastAsia="仿宋_GB2312" w:cs="Times New Roman"/>
          <w:b w:val="0"/>
          <w:bCs w:val="0"/>
          <w:sz w:val="32"/>
          <w:szCs w:val="32"/>
          <w:u w:val="none"/>
          <w:lang w:val="en-US" w:eastAsia="zh-CN"/>
        </w:rPr>
        <w:t>）；申请人</w:t>
      </w:r>
      <w:r>
        <w:rPr>
          <w:rFonts w:hint="eastAsia" w:ascii="Times New Roman" w:hAnsi="Times New Roman" w:eastAsia="仿宋_GB2312" w:cs="Times New Roman"/>
          <w:b w:val="0"/>
          <w:bCs w:val="0"/>
          <w:sz w:val="32"/>
          <w:szCs w:val="32"/>
          <w:u w:val="none"/>
          <w:lang w:val="en-US" w:eastAsia="zh-CN"/>
        </w:rPr>
        <w:t>对5支不符合气瓶安全技术规程要求的气液双相瓶</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液相阀带转换接头的</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进行充装，因</w:t>
      </w:r>
      <w:r>
        <w:rPr>
          <w:rFonts w:hint="eastAsia" w:eastAsia="仿宋_GB2312" w:cs="Times New Roman"/>
          <w:b w:val="0"/>
          <w:bCs w:val="0"/>
          <w:sz w:val="32"/>
          <w:szCs w:val="32"/>
          <w:u w:val="none"/>
          <w:lang w:val="en-US" w:eastAsia="zh-CN"/>
        </w:rPr>
        <w:t>其</w:t>
      </w:r>
      <w:r>
        <w:rPr>
          <w:rFonts w:hint="eastAsia" w:ascii="Times New Roman" w:hAnsi="Times New Roman" w:eastAsia="仿宋_GB2312" w:cs="Times New Roman"/>
          <w:b w:val="0"/>
          <w:bCs w:val="0"/>
          <w:sz w:val="32"/>
          <w:szCs w:val="32"/>
          <w:u w:val="none"/>
          <w:lang w:val="en-US" w:eastAsia="zh-CN"/>
        </w:rPr>
        <w:t>未按照规定实施气瓶充装记录制度，具体充装次数无法核实</w:t>
      </w:r>
      <w:r>
        <w:rPr>
          <w:rFonts w:hint="eastAsia" w:eastAsia="仿宋_GB2312" w:cs="Times New Roman"/>
          <w:b w:val="0"/>
          <w:bCs w:val="0"/>
          <w:sz w:val="32"/>
          <w:szCs w:val="32"/>
          <w:u w:val="none"/>
          <w:lang w:val="en-US" w:eastAsia="zh-CN"/>
        </w:rPr>
        <w:t>；申请人</w:t>
      </w:r>
      <w:r>
        <w:rPr>
          <w:rFonts w:hint="eastAsia" w:ascii="Times New Roman" w:hAnsi="Times New Roman" w:eastAsia="仿宋_GB2312" w:cs="Times New Roman"/>
          <w:b w:val="0"/>
          <w:bCs w:val="0"/>
          <w:sz w:val="32"/>
          <w:szCs w:val="32"/>
          <w:u w:val="none"/>
          <w:lang w:val="en-US" w:eastAsia="zh-CN"/>
        </w:rPr>
        <w:t>在2023年10月27日对不符合气瓶安全技术规程要求的气瓶充装13 支次，为非</w:t>
      </w:r>
      <w:r>
        <w:rPr>
          <w:rFonts w:hint="eastAsia" w:eastAsia="仿宋_GB2312" w:cs="Times New Roman"/>
          <w:b w:val="0"/>
          <w:bCs w:val="0"/>
          <w:sz w:val="32"/>
          <w:szCs w:val="32"/>
          <w:u w:val="none"/>
          <w:lang w:val="en-US" w:eastAsia="zh-CN"/>
        </w:rPr>
        <w:t>其</w:t>
      </w:r>
      <w:r>
        <w:rPr>
          <w:rFonts w:hint="eastAsia" w:ascii="Times New Roman" w:hAnsi="Times New Roman" w:eastAsia="仿宋_GB2312" w:cs="Times New Roman"/>
          <w:b w:val="0"/>
          <w:bCs w:val="0"/>
          <w:sz w:val="32"/>
          <w:szCs w:val="32"/>
          <w:u w:val="none"/>
          <w:lang w:val="en-US" w:eastAsia="zh-CN"/>
        </w:rPr>
        <w:t>办理使用登记的气瓶。</w:t>
      </w:r>
      <w:r>
        <w:rPr>
          <w:rFonts w:hint="eastAsia" w:eastAsia="仿宋_GB2312" w:cs="Times New Roman"/>
          <w:b w:val="0"/>
          <w:bCs w:val="0"/>
          <w:sz w:val="32"/>
          <w:szCs w:val="32"/>
          <w:u w:val="none"/>
          <w:lang w:val="en-US" w:eastAsia="zh-CN"/>
        </w:rPr>
        <w:t>2024年2月26日，梨树县市场监督管理局作出</w:t>
      </w:r>
      <w:r>
        <w:rPr>
          <w:rFonts w:hint="default" w:ascii="Times New Roman" w:hAnsi="Times New Roman" w:eastAsia="仿宋_GB2312" w:cs="Times New Roman"/>
          <w:b w:val="0"/>
          <w:bCs w:val="0"/>
          <w:sz w:val="32"/>
          <w:szCs w:val="32"/>
          <w:u w:val="none"/>
          <w:lang w:val="en-US" w:eastAsia="zh-CN"/>
        </w:rPr>
        <w:t>梨市监处罚[2024]</w:t>
      </w:r>
      <w:r>
        <w:rPr>
          <w:rFonts w:hint="eastAsia"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u w:val="none"/>
          <w:lang w:val="en-US" w:eastAsia="zh-CN"/>
        </w:rPr>
        <w:t>5号</w:t>
      </w:r>
      <w:r>
        <w:rPr>
          <w:rFonts w:hint="eastAsia" w:eastAsia="仿宋_GB2312" w:cs="Times New Roman"/>
          <w:b w:val="0"/>
          <w:bCs w:val="0"/>
          <w:sz w:val="32"/>
          <w:szCs w:val="32"/>
          <w:u w:val="none"/>
          <w:lang w:val="en-US" w:eastAsia="zh-CN"/>
        </w:rPr>
        <w:t>《行政处罚决定书》，对申请人</w:t>
      </w:r>
      <w:r>
        <w:rPr>
          <w:rFonts w:hint="eastAsia" w:ascii="Times New Roman" w:hAnsi="Times New Roman" w:eastAsia="仿宋_GB2312" w:cs="Times New Roman"/>
          <w:b w:val="0"/>
          <w:bCs w:val="0"/>
          <w:sz w:val="32"/>
          <w:szCs w:val="32"/>
          <w:u w:val="none"/>
          <w:lang w:val="en-US" w:eastAsia="zh-CN"/>
        </w:rPr>
        <w:t>抚松县</w:t>
      </w:r>
      <w:r>
        <w:rPr>
          <w:rFonts w:hint="eastAsia" w:eastAsia="仿宋_GB2312" w:cs="Times New Roman"/>
          <w:b w:val="0"/>
          <w:bCs w:val="0"/>
          <w:sz w:val="32"/>
          <w:szCs w:val="32"/>
          <w:u w:val="none"/>
          <w:lang w:val="en-US" w:eastAsia="zh-CN"/>
        </w:rPr>
        <w:t>松江河某有限公司作出罚款人民币20万元，吊销《气瓶充装许可证》的行政处罚。2024年3月4日，申请人</w:t>
      </w:r>
      <w:r>
        <w:rPr>
          <w:rFonts w:hint="eastAsia" w:ascii="Times New Roman" w:hAnsi="Times New Roman" w:eastAsia="仿宋_GB2312" w:cs="Times New Roman"/>
          <w:b w:val="0"/>
          <w:bCs w:val="0"/>
          <w:sz w:val="32"/>
          <w:szCs w:val="32"/>
          <w:u w:val="none"/>
          <w:lang w:val="en-US" w:eastAsia="zh-CN"/>
        </w:rPr>
        <w:t>抚松县</w:t>
      </w:r>
      <w:r>
        <w:rPr>
          <w:rFonts w:hint="eastAsia" w:eastAsia="仿宋_GB2312" w:cs="Times New Roman"/>
          <w:b w:val="0"/>
          <w:bCs w:val="0"/>
          <w:sz w:val="32"/>
          <w:szCs w:val="32"/>
          <w:u w:val="none"/>
          <w:lang w:val="en-US" w:eastAsia="zh-CN"/>
        </w:rPr>
        <w:t>松江河某有限公司向本机构提出行政复议申请。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本机关认为：</w:t>
      </w:r>
      <w:r>
        <w:rPr>
          <w:rFonts w:hint="eastAsia" w:eastAsia="仿宋_GB2312" w:cs="Times New Roman"/>
          <w:b w:val="0"/>
          <w:bCs w:val="0"/>
          <w:sz w:val="32"/>
          <w:szCs w:val="32"/>
          <w:u w:val="none"/>
          <w:lang w:val="en-US" w:eastAsia="zh-CN"/>
        </w:rPr>
        <w:t>在案件的审理过程当中，双方当事人均表示同意调解并达成一致协议。</w:t>
      </w:r>
      <w:r>
        <w:rPr>
          <w:rFonts w:hint="eastAsia" w:ascii="Times New Roman" w:hAnsi="Times New Roman" w:eastAsia="仿宋_GB2312" w:cs="Times New Roman"/>
          <w:b w:val="0"/>
          <w:bCs w:val="0"/>
          <w:sz w:val="32"/>
          <w:szCs w:val="32"/>
          <w:u w:val="none"/>
          <w:lang w:val="en-US" w:eastAsia="zh-CN"/>
        </w:rPr>
        <w:t>根据《中华人民共和国行政复议法》第七十三条第一款之规定“当事人经调解达成协议的，行政复议机关应当制作行政复议调解书，经各方当事人签字或者签章，并加盖行政复议机关印章，即具有法律效力。”本机关按照自愿、合法的原则进行调解，当事人达成如下协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一、变更梨树县市场监督管理局</w:t>
      </w:r>
      <w:r>
        <w:rPr>
          <w:rFonts w:hint="default" w:ascii="Times New Roman" w:hAnsi="Times New Roman" w:eastAsia="仿宋_GB2312" w:cs="Times New Roman"/>
          <w:b w:val="0"/>
          <w:bCs w:val="0"/>
          <w:sz w:val="32"/>
          <w:szCs w:val="32"/>
          <w:u w:val="none"/>
          <w:lang w:val="en-US" w:eastAsia="zh-CN"/>
        </w:rPr>
        <w:t>梨市监处罚[2024]</w:t>
      </w:r>
      <w:r>
        <w:rPr>
          <w:rFonts w:hint="eastAsia"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u w:val="none"/>
          <w:lang w:val="en-US" w:eastAsia="zh-CN"/>
        </w:rPr>
        <w:t>5号</w:t>
      </w:r>
      <w:r>
        <w:rPr>
          <w:rFonts w:hint="eastAsia" w:eastAsia="仿宋_GB2312" w:cs="Times New Roman"/>
          <w:b w:val="0"/>
          <w:bCs w:val="0"/>
          <w:sz w:val="32"/>
          <w:szCs w:val="32"/>
          <w:u w:val="none"/>
          <w:lang w:val="en-US" w:eastAsia="zh-CN"/>
        </w:rPr>
        <w:t>《行政处罚决定书》关于“一、罚款人民币20万元；”的行政处罚决定为“罚款人民币18万元”。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二、撤销梨树县市场监督管理局</w:t>
      </w:r>
      <w:r>
        <w:rPr>
          <w:rFonts w:hint="default" w:ascii="Times New Roman" w:hAnsi="Times New Roman" w:eastAsia="仿宋_GB2312" w:cs="Times New Roman"/>
          <w:b w:val="0"/>
          <w:bCs w:val="0"/>
          <w:sz w:val="32"/>
          <w:szCs w:val="32"/>
          <w:u w:val="none"/>
          <w:lang w:val="en-US" w:eastAsia="zh-CN"/>
        </w:rPr>
        <w:t>梨市监处罚[2024]</w:t>
      </w:r>
      <w:r>
        <w:rPr>
          <w:rFonts w:hint="eastAsia"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u w:val="none"/>
          <w:lang w:val="en-US" w:eastAsia="zh-CN"/>
        </w:rPr>
        <w:t>5号</w:t>
      </w:r>
      <w:r>
        <w:rPr>
          <w:rFonts w:hint="eastAsia" w:eastAsia="仿宋_GB2312" w:cs="Times New Roman"/>
          <w:b w:val="0"/>
          <w:bCs w:val="0"/>
          <w:sz w:val="32"/>
          <w:szCs w:val="32"/>
          <w:u w:val="none"/>
          <w:lang w:val="en-US" w:eastAsia="zh-CN"/>
        </w:rPr>
        <w:t>《行政处罚决定书》关于“二、吊销《气瓶充装许可证》”的行政处罚决定。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上述调解结果，符合有关法律规定，本机关予以确认。</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本调解书经当事人签字或者盖章，即具有法律效力。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eastAsia" w:ascii="Times New Roman" w:hAnsi="Times New Roman" w:eastAsia="仿宋_GB2312" w:cs="Times New Roman"/>
          <w:b w:val="0"/>
          <w:bCs w:val="0"/>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704"/>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申请人（盖章）：</w:t>
      </w:r>
      <w:r>
        <w:rPr>
          <w:rFonts w:hint="eastAsia" w:eastAsia="仿宋_GB2312" w:cs="Times New Roman"/>
          <w:b w:val="0"/>
          <w:bCs w:val="0"/>
          <w:sz w:val="32"/>
          <w:szCs w:val="32"/>
          <w:u w:val="none"/>
          <w:lang w:val="en-US" w:eastAsia="zh-CN"/>
        </w:rPr>
        <w:t>抚松县松江河某有限公司</w:t>
      </w:r>
      <w:r>
        <w:rPr>
          <w:rFonts w:hint="eastAsia" w:ascii="仿宋_GB2312" w:hAnsi="仿宋_GB2312" w:eastAsia="仿宋_GB2312" w:cs="仿宋_GB2312"/>
          <w:sz w:val="32"/>
          <w:szCs w:val="32"/>
          <w:u w:val="none"/>
          <w:lang w:val="en-US" w:eastAsia="zh-CN"/>
        </w:rPr>
        <w:t>法定代表人（签字）：</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704"/>
        <w:jc w:val="both"/>
        <w:textAlignment w:val="auto"/>
        <w:outlineLvl w:val="9"/>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704"/>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被申请人（盖章）：梨树县市场监督管理局</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704"/>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法定代表人（签字）：</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default" w:ascii="Times New Roman" w:hAnsi="Times New Roman" w:eastAsia="仿宋_GB2312" w:cs="Times New Roman"/>
          <w:b w:val="0"/>
          <w:bCs w:val="0"/>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default" w:ascii="Times New Roman" w:hAnsi="Times New Roman" w:eastAsia="仿宋_GB2312" w:cs="Times New Roman"/>
          <w:b w:val="0"/>
          <w:bCs w:val="0"/>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2024年4月</w:t>
      </w:r>
      <w:r>
        <w:rPr>
          <w:rFonts w:hint="eastAsia" w:eastAsia="仿宋_GB2312" w:cs="Times New Roman"/>
          <w:b w:val="0"/>
          <w:bCs w:val="0"/>
          <w:sz w:val="32"/>
          <w:szCs w:val="32"/>
          <w:u w:val="none"/>
          <w:lang w:val="en-US" w:eastAsia="zh-CN"/>
        </w:rPr>
        <w:t>23</w:t>
      </w:r>
      <w:r>
        <w:rPr>
          <w:rFonts w:hint="default" w:ascii="Times New Roman" w:hAnsi="Times New Roman" w:eastAsia="仿宋_GB2312" w:cs="Times New Roman"/>
          <w:b w:val="0"/>
          <w:bCs w:val="0"/>
          <w:sz w:val="32"/>
          <w:szCs w:val="32"/>
          <w:u w:val="none"/>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sz w:val="32"/>
          <w:szCs w:val="32"/>
          <w:u w:val="none"/>
          <w:lang w:val="en-US" w:eastAsia="zh-CN"/>
        </w:rPr>
        <w:t>（行政复议专用章）</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ZjJhMjk1YWZiYmRmMDBmYzFhNWVkZDdiYjkwODkifQ=="/>
  </w:docVars>
  <w:rsids>
    <w:rsidRoot w:val="558F278F"/>
    <w:rsid w:val="07895AB1"/>
    <w:rsid w:val="07B6520F"/>
    <w:rsid w:val="087E025D"/>
    <w:rsid w:val="096F4375"/>
    <w:rsid w:val="09CB6DB2"/>
    <w:rsid w:val="0EFA1A23"/>
    <w:rsid w:val="0FCE0C51"/>
    <w:rsid w:val="14FD65B0"/>
    <w:rsid w:val="15E92AF6"/>
    <w:rsid w:val="18044304"/>
    <w:rsid w:val="1C2814C3"/>
    <w:rsid w:val="241B4BD5"/>
    <w:rsid w:val="2AC515E1"/>
    <w:rsid w:val="2D060F93"/>
    <w:rsid w:val="2E133034"/>
    <w:rsid w:val="312D2A9B"/>
    <w:rsid w:val="34231423"/>
    <w:rsid w:val="37737727"/>
    <w:rsid w:val="3FFB7D7E"/>
    <w:rsid w:val="45405501"/>
    <w:rsid w:val="4B800EE8"/>
    <w:rsid w:val="4CC50E70"/>
    <w:rsid w:val="4E823843"/>
    <w:rsid w:val="51062275"/>
    <w:rsid w:val="529A602F"/>
    <w:rsid w:val="558F278F"/>
    <w:rsid w:val="56046FAD"/>
    <w:rsid w:val="59031DFA"/>
    <w:rsid w:val="5AD2446C"/>
    <w:rsid w:val="5CB221ED"/>
    <w:rsid w:val="5DD87889"/>
    <w:rsid w:val="5E47183A"/>
    <w:rsid w:val="6084018C"/>
    <w:rsid w:val="61614622"/>
    <w:rsid w:val="6714068F"/>
    <w:rsid w:val="6B6818F1"/>
    <w:rsid w:val="6E00683C"/>
    <w:rsid w:val="718D27E5"/>
    <w:rsid w:val="71BA05A3"/>
    <w:rsid w:val="74FC2837"/>
    <w:rsid w:val="770028B1"/>
    <w:rsid w:val="7B6E3E00"/>
    <w:rsid w:val="7C542174"/>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4334</Words>
  <Characters>4638</Characters>
  <Lines>0</Lines>
  <Paragraphs>0</Paragraphs>
  <TotalTime>11</TotalTime>
  <ScaleCrop>false</ScaleCrop>
  <LinksUpToDate>false</LinksUpToDate>
  <CharactersWithSpaces>4784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Administrator</cp:lastModifiedBy>
  <dcterms:modified xsi:type="dcterms:W3CDTF">2024-12-19T01:15:56Z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062F7A3F89C04AF7BA593A227B8FC1E5_12</vt:lpwstr>
  </property>
</Properties>
</file>