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梨树县县域商业建设项目清单</w:t>
      </w:r>
    </w:p>
    <w:tbl>
      <w:tblPr>
        <w:tblStyle w:val="5"/>
        <w:tblW w:w="1411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25"/>
        <w:gridCol w:w="570"/>
        <w:gridCol w:w="1033"/>
        <w:gridCol w:w="1532"/>
        <w:gridCol w:w="795"/>
        <w:gridCol w:w="855"/>
        <w:gridCol w:w="810"/>
        <w:gridCol w:w="793"/>
        <w:gridCol w:w="3165"/>
        <w:gridCol w:w="647"/>
        <w:gridCol w:w="3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95" w:hRule="atLeast"/>
        </w:trPr>
        <w:tc>
          <w:tcPr>
            <w:tcW w:w="52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序号</w:t>
            </w:r>
          </w:p>
        </w:tc>
        <w:tc>
          <w:tcPr>
            <w:tcW w:w="570"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年度</w:t>
            </w:r>
          </w:p>
        </w:tc>
        <w:tc>
          <w:tcPr>
            <w:tcW w:w="1033"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项目位置</w:t>
            </w:r>
          </w:p>
        </w:tc>
        <w:tc>
          <w:tcPr>
            <w:tcW w:w="1532"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项目名称</w:t>
            </w:r>
          </w:p>
        </w:tc>
        <w:tc>
          <w:tcPr>
            <w:tcW w:w="79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建设类型</w:t>
            </w:r>
          </w:p>
        </w:tc>
        <w:tc>
          <w:tcPr>
            <w:tcW w:w="85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承办企业</w:t>
            </w:r>
          </w:p>
        </w:tc>
        <w:tc>
          <w:tcPr>
            <w:tcW w:w="810"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总投资额</w:t>
            </w:r>
            <w:r>
              <w:rPr>
                <w:rFonts w:hint="default" w:ascii="黑体" w:hAnsi="黑体" w:eastAsia="黑体"/>
                <w:b/>
                <w:bCs/>
                <w:i w:val="0"/>
                <w:snapToGrid/>
                <w:color w:val="000000"/>
                <w:sz w:val="16"/>
                <w:u w:val="none"/>
                <w:lang w:eastAsia="zh-CN"/>
              </w:rPr>
              <w:br w:type="textWrapping"/>
            </w:r>
            <w:r>
              <w:rPr>
                <w:rFonts w:hint="default" w:ascii="黑体" w:hAnsi="黑体" w:eastAsia="黑体"/>
                <w:b/>
                <w:bCs/>
                <w:i w:val="0"/>
                <w:snapToGrid/>
                <w:color w:val="000000"/>
                <w:sz w:val="16"/>
                <w:u w:val="none"/>
                <w:lang w:eastAsia="zh-CN"/>
              </w:rPr>
              <w:t>（万元）</w:t>
            </w:r>
          </w:p>
        </w:tc>
        <w:tc>
          <w:tcPr>
            <w:tcW w:w="793"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奖补金额</w:t>
            </w:r>
            <w:r>
              <w:rPr>
                <w:rFonts w:hint="default" w:ascii="黑体" w:hAnsi="黑体" w:eastAsia="黑体"/>
                <w:b/>
                <w:bCs/>
                <w:i w:val="0"/>
                <w:snapToGrid/>
                <w:color w:val="000000"/>
                <w:sz w:val="16"/>
                <w:u w:val="none"/>
                <w:lang w:eastAsia="zh-CN"/>
              </w:rPr>
              <w:br w:type="textWrapping"/>
            </w:r>
            <w:r>
              <w:rPr>
                <w:rFonts w:hint="default" w:ascii="黑体" w:hAnsi="黑体" w:eastAsia="黑体"/>
                <w:b/>
                <w:bCs/>
                <w:i w:val="0"/>
                <w:snapToGrid/>
                <w:color w:val="000000"/>
                <w:sz w:val="16"/>
                <w:u w:val="none"/>
                <w:lang w:eastAsia="zh-CN"/>
              </w:rPr>
              <w:t>（万元）</w:t>
            </w:r>
          </w:p>
        </w:tc>
        <w:tc>
          <w:tcPr>
            <w:tcW w:w="316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建设内容</w:t>
            </w:r>
          </w:p>
        </w:tc>
        <w:tc>
          <w:tcPr>
            <w:tcW w:w="647"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建设周期</w:t>
            </w:r>
          </w:p>
        </w:tc>
        <w:tc>
          <w:tcPr>
            <w:tcW w:w="3388"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bCs/>
                <w:i w:val="0"/>
                <w:snapToGrid/>
                <w:color w:val="000000"/>
                <w:sz w:val="16"/>
                <w:u w:val="none"/>
                <w:lang w:eastAsia="zh-CN"/>
              </w:rPr>
            </w:pPr>
            <w:r>
              <w:rPr>
                <w:rFonts w:hint="default" w:ascii="黑体" w:hAnsi="黑体" w:eastAsia="黑体"/>
                <w:b/>
                <w:bCs/>
                <w:i w:val="0"/>
                <w:snapToGrid/>
                <w:color w:val="000000"/>
                <w:sz w:val="16"/>
                <w:u w:val="none"/>
                <w:lang w:eastAsia="zh-CN"/>
              </w:rPr>
              <w:t>实现功能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梨树镇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梨树县县级物流中心改造项目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546</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273</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支持购置相应物流快递设备设施，对有关场地进行相应改造，发展智慧物流等建设改造内容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按照《县域商业建设指南》标准要求，结合本地实际，实现相应建设类型功能，提高统仓共配率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郭家店镇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郭家店镇物流快递站点改造项目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榆树台镇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榆树台镇物流快递站点改造项目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孤家子镇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孤家子镇物流快递站点改造项目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小城子镇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小城子镇物流快递站点改造项目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喇嘛甸镇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喇嘛甸镇物流快递站点改造项目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蔡家镇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蔡家镇物流快递站点改造项目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刘家馆子镇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刘家馆子镇物流快递站点改造项目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十家堡镇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十家堡镇物流快递站点改造项目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孟家岭镇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孟家岭镇物流快递站点改造项目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万发镇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万发镇物流快递站点改造项目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东河镇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东河镇物流快递站点改造项目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沈洋镇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沈洋镇物流快递站点改造项目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林海镇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林海镇物流快递站点改造项目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小宽镇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小宽镇物流快递站点改造项目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白山乡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白山乡物流快递站点改造项目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泉眼岭乡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泉眼岭乡物流快递站点改造项目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胜利乡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胜利乡物流快递站点改造项目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四棵树乡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四棵树乡物流快递站点改造项目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双河乡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双河乡物流快递站点改造项目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金山乡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金山乡物流快递站点改造项目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支持购置相应物流快递设备设施、对有关场地进行相应改造等建设改造内容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实现由县到乡镇、村屯的快递物流服务，增强对乡村的辐射能力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郭家店镇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郭家店镇商贸中心改造项目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支持为中心内相关企业的购置便利化服务设备设施及管理服务软件系统</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按照《县域商业建设指南》要求，结合本地实际，实现相应建设类型功能，为周边乡镇、村屯居民生活消费提供一站式服务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小城子镇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小城子镇商贸中心改造项目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支持为中心内相关企业的购置便利化服务设备设施及管理服务软件系统</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按照《县域商业建设指南》要求，结合本地实际，实现相应建设类型功能，为周边乡镇、村屯居民生活消费提供一站式服务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孤家子镇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孤家子镇商贸中心改造项目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支持为中心内相关企业的购置便利化服务设备设施及管理服务软件系统</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按照《县域商业建设指南》要求，结合本地实际，实现相应建设类型功能，为周边乡镇、村屯居民生活消费提供一站式服务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东河镇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东河镇集贸市场改造项目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支持购置相应设备设施，对有关交易场地进行相应改造等建设改造内容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开展菜农直供直销、居民捎带采购，满足居民个性化、便利化消费需求，为脱贫户农产品销售提供公益服务。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胜利乡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胜利乡集贸市场改造项目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50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支持购置相应设备设施，对有关交易场地进行相应改造等建设改造内容</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开展菜农直供直销、居民捎带采购，满足居民个性化、便利化消费需求，为脱贫户农产品销售提供公益服务。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喇嘛甸镇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喇嘛甸镇中型超市改造项目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40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支持购置相应便利化交易设备设施及库存管理服务软件系统</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改善周边居民购物消费环境，提高交易便利化程度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十家堡镇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十家堡中型超市改造项目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待招标评审后确定</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20</w:t>
            </w:r>
          </w:p>
        </w:tc>
        <w:tc>
          <w:tcPr>
            <w:tcW w:w="79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 w:hAnsi="仿宋" w:eastAsia="仿宋"/>
                <w:b w:val="0"/>
                <w:i w:val="0"/>
                <w:snapToGrid/>
                <w:color w:val="000000"/>
                <w:sz w:val="20"/>
                <w:u w:val="none"/>
                <w:shd w:val="clear" w:color="auto" w:fill="FFFFFF"/>
                <w:lang w:eastAsia="zh-CN"/>
              </w:rPr>
            </w:pPr>
            <w:r>
              <w:rPr>
                <w:rFonts w:hint="default" w:ascii="仿宋" w:hAnsi="仿宋" w:eastAsia="仿宋"/>
                <w:b w:val="0"/>
                <w:i w:val="0"/>
                <w:snapToGrid/>
                <w:color w:val="000000"/>
                <w:sz w:val="20"/>
                <w:u w:val="none"/>
                <w:shd w:val="clear" w:color="auto" w:fill="FFFFFF"/>
                <w:lang w:eastAsia="zh-CN"/>
              </w:rPr>
              <w:t>10</w:t>
            </w:r>
          </w:p>
        </w:tc>
        <w:tc>
          <w:tcPr>
            <w:tcW w:w="31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支持购置相应便利化交易设备设施及库存管理服务软件系统</w:t>
            </w:r>
          </w:p>
        </w:tc>
        <w:tc>
          <w:tcPr>
            <w:tcW w:w="647"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1.5年</w:t>
            </w:r>
          </w:p>
        </w:tc>
        <w:tc>
          <w:tcPr>
            <w:tcW w:w="3388"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改善周边居民购物消费环境，提高交易便利化程度</w:t>
            </w:r>
          </w:p>
        </w:tc>
      </w:tr>
    </w:tbl>
    <w:p>
      <w:pPr>
        <w:pStyle w:val="6"/>
        <w:keepNext w:val="0"/>
        <w:keepLines w:val="0"/>
        <w:pageBreakBefore w:val="0"/>
        <w:widowControl w:val="0"/>
        <w:shd w:val="clear" w:color="auto" w:fill="auto"/>
        <w:tabs>
          <w:tab w:val="left" w:pos="1963"/>
        </w:tabs>
        <w:kinsoku/>
        <w:wordWrap/>
        <w:overflowPunct/>
        <w:topLinePunct w:val="0"/>
        <w:autoSpaceDE/>
        <w:autoSpaceDN/>
        <w:bidi w:val="0"/>
        <w:adjustRightInd/>
        <w:snapToGrid/>
        <w:spacing w:before="0" w:beforeLines="0" w:line="560" w:lineRule="exact"/>
        <w:ind w:left="0" w:leftChars="0" w:right="0" w:firstLine="0" w:firstLineChars="0"/>
        <w:jc w:val="left"/>
        <w:textAlignment w:val="auto"/>
        <w:rPr>
          <w:rFonts w:hint="default" w:ascii="Times New Roman" w:hAnsi="Times New Roman" w:eastAsia="仿宋_GB2312" w:cs="Times New Roman"/>
          <w:sz w:val="32"/>
          <w:szCs w:val="32"/>
          <w:lang w:val="en-US" w:eastAsia="zh-CN"/>
        </w:rPr>
      </w:pPr>
    </w:p>
    <w:p>
      <w:bookmarkStart w:id="0" w:name="_GoBack"/>
      <w:bookmarkEnd w:id="0"/>
    </w:p>
    <w:sectPr>
      <w:headerReference r:id="rId3" w:type="default"/>
      <w:footerReference r:id="rId4" w:type="default"/>
      <w:pgSz w:w="16838" w:h="11906" w:orient="landscape"/>
      <w:pgMar w:top="1587" w:right="2098"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9455" cy="534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9455" cy="534670"/>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p>
                        <w:p>
                          <w:pPr>
                            <w:pStyle w:val="2"/>
                          </w:pPr>
                        </w:p>
                      </w:txbxContent>
                    </wps:txbx>
                    <wps:bodyPr lIns="0" tIns="0" rIns="0" bIns="0" upright="0"/>
                  </wps:wsp>
                </a:graphicData>
              </a:graphic>
            </wp:anchor>
          </w:drawing>
        </mc:Choice>
        <mc:Fallback>
          <w:pict>
            <v:shape id="_x0000_s1026" o:spid="_x0000_s1026" o:spt="202" type="#_x0000_t202" style="position:absolute;left:0pt;margin-top:0pt;height:42.1pt;width:56.65pt;mso-position-horizontal:outside;mso-position-horizontal-relative:margin;z-index:251659264;mso-width-relative:page;mso-height-relative:page;" filled="f" stroked="f" coordsize="21600,21600" o:gfxdata="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x+Qm9QAAAAEAQAADwAA&#10;AAAAAAABACAAAAAiAAAAZHJzL2Rvd25yZXYueG1sUEsBAhQAFAAAAAgAh07iQFl4vZOoAQAALAMA&#10;AA4AAAAAAAAAAQAgAAAAIwEAAGRycy9lMm9Eb2MueG1sUEsFBgAAAAAGAAYAWQEAAD0FAAAAAA==&#10;">
              <v:path/>
              <v:fill on="f" focussize="0,0"/>
              <v:stroke on="f"/>
              <v:imagedata o:title=""/>
              <o:lock v:ext="edit" grouping="f" rotation="f" text="f" aspectratio="f"/>
              <v:textbox inset="0mm,0mm,0mm,0mm">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p>
                  <w:p>
                    <w:pPr>
                      <w:pStyle w:val="2"/>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4658360</wp:posOffset>
              </wp:positionH>
              <wp:positionV relativeFrom="paragraph">
                <wp:posOffset>-85725</wp:posOffset>
              </wp:positionV>
              <wp:extent cx="881380" cy="428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81380" cy="428625"/>
                      </a:xfrm>
                      <a:prstGeom prst="rect">
                        <a:avLst/>
                      </a:prstGeom>
                      <a:noFill/>
                      <a:ln w="9525">
                        <a:noFill/>
                      </a:ln>
                    </wps:spPr>
                    <wps:txbx>
                      <w:txbxContent>
                        <w:p>
                          <w:pPr>
                            <w:pStyle w:val="2"/>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366.8pt;margin-top:-6.75pt;height:33.75pt;width:69.4pt;mso-position-horizontal-relative:margin;z-index:251658240;mso-width-relative:page;mso-height-relative:page;" filled="f" stroked="f" coordsize="21600,21600" o:gfxdata="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FF1ZNoAAAAKAQAA&#10;DwAAAAAAAAABACAAAAAiAAAAZHJzL2Rvd25yZXYueG1sUEsBAhQAFAAAAAgAh07iQHRdO2elAQAA&#10;LAMAAA4AAAAAAAAAAQAgAAAAKQEAAGRycy9lMm9Eb2MueG1sUEsFBgAAAAAGAAYAWQEAAEAFAAAA&#10;AA==&#10;">
              <v:path/>
              <v:fill on="f" focussize="0,0"/>
              <v:stroke on="f"/>
              <v:imagedata o:title=""/>
              <o:lock v:ext="edit" grouping="f" rotation="f" text="f" aspectratio="f"/>
              <v:textbox inset="0mm,0mm,0mm,0mm">
                <w:txbxContent>
                  <w:p>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C69A3"/>
    <w:rsid w:val="02BC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Body text|1"/>
    <w:basedOn w:val="1"/>
    <w:qFormat/>
    <w:uiPriority w:val="0"/>
    <w:pPr>
      <w:widowControl w:val="0"/>
      <w:shd w:val="clear" w:color="auto" w:fill="auto"/>
      <w:spacing w:line="444" w:lineRule="auto"/>
      <w:ind w:firstLine="400"/>
    </w:pPr>
    <w:rPr>
      <w:rFonts w:asci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2022-10-27T02:57:00Z</dcterms:created>
  <dc:creator>Administrator</dc:creator>
  <cp:lastModifiedBy>Administrator</cp:lastModifiedBy>
  <dcterms:modified xsi:type="dcterms:W3CDTF">2022-10-27T02:57:39Z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