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r>
        <w:rPr>
          <w:rFonts w:eastAsia="黑体"/>
        </w:rPr>
        <w:t>附件1：</w:t>
      </w: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ascii="宋体" w:hAnsi="宋体" w:eastAsia="宋体" w:cs="宋体"/>
          <w:sz w:val="44"/>
          <w:szCs w:val="44"/>
        </w:rPr>
      </w:pPr>
      <w:r>
        <w:rPr>
          <w:rFonts w:hint="eastAsia" w:ascii="宋体" w:hAnsi="宋体" w:eastAsia="宋体" w:cs="宋体"/>
          <w:sz w:val="44"/>
          <w:szCs w:val="44"/>
          <w:u w:val="single"/>
          <w:lang w:val="en-US" w:eastAsia="zh-CN"/>
        </w:rPr>
        <w:t>刘家馆子镇人民政府</w:t>
      </w:r>
      <w:r>
        <w:rPr>
          <w:rFonts w:hint="eastAsia" w:ascii="宋体" w:hAnsi="宋体" w:eastAsia="宋体" w:cs="宋体"/>
          <w:sz w:val="44"/>
          <w:szCs w:val="44"/>
        </w:rPr>
        <w:t>202</w:t>
      </w:r>
      <w:r>
        <w:rPr>
          <w:rFonts w:hint="eastAsia" w:ascii="宋体" w:hAnsi="宋体" w:eastAsia="宋体" w:cs="宋体"/>
          <w:sz w:val="44"/>
          <w:szCs w:val="44"/>
          <w:lang w:val="en-US" w:eastAsia="zh-CN"/>
        </w:rPr>
        <w:t>4</w:t>
      </w:r>
      <w:r>
        <w:rPr>
          <w:rFonts w:hint="eastAsia" w:ascii="宋体" w:hAnsi="宋体" w:eastAsia="宋体" w:cs="宋体"/>
          <w:sz w:val="44"/>
          <w:szCs w:val="44"/>
        </w:rPr>
        <w:t>年部门预算</w:t>
      </w:r>
      <w:r>
        <w:rPr>
          <w:rFonts w:hint="eastAsia" w:ascii="宋体" w:hAnsi="宋体" w:eastAsia="宋体" w:cs="宋体"/>
          <w:kern w:val="2"/>
          <w:sz w:val="44"/>
          <w:szCs w:val="44"/>
        </w:rPr>
        <w:t>（本级）</w:t>
      </w:r>
      <w:bookmarkStart w:id="0" w:name="_GoBack"/>
      <w:bookmarkEnd w:id="0"/>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p>
    <w:p>
      <w:pPr>
        <w:rPr>
          <w:rFonts w:eastAsia="黑体"/>
        </w:rPr>
      </w:pPr>
    </w:p>
    <w:p>
      <w:pPr>
        <w:ind w:firstLine="640" w:firstLineChars="200"/>
        <w:rPr>
          <w:rFonts w:eastAsia="黑体"/>
        </w:rPr>
      </w:pPr>
    </w:p>
    <w:p>
      <w:pPr>
        <w:jc w:val="center"/>
        <w:rPr>
          <w:rFonts w:hint="eastAsia" w:asciiTheme="majorEastAsia" w:hAnsiTheme="majorEastAsia" w:eastAsiaTheme="majorEastAsia" w:cstheme="majorEastAsia"/>
          <w:sz w:val="44"/>
          <w:szCs w:val="44"/>
        </w:rPr>
      </w:pPr>
      <w:r>
        <w:rPr>
          <w:rFonts w:eastAsia="黑体"/>
        </w:rPr>
        <w:br w:type="page"/>
      </w:r>
      <w:r>
        <w:rPr>
          <w:rFonts w:hint="eastAsia" w:asciiTheme="majorEastAsia" w:hAnsiTheme="majorEastAsia" w:eastAsiaTheme="majorEastAsia" w:cstheme="majorEastAsia"/>
          <w:sz w:val="44"/>
          <w:szCs w:val="44"/>
        </w:rPr>
        <w:t>目  录</w:t>
      </w:r>
    </w:p>
    <w:p>
      <w:pPr>
        <w:rPr>
          <w:rFonts w:eastAsia="黑体"/>
        </w:rPr>
      </w:pPr>
      <w:r>
        <w:rPr>
          <w:rFonts w:eastAsia="黑体"/>
        </w:rPr>
        <w:tab/>
      </w:r>
      <w:r>
        <w:rPr>
          <w:rFonts w:eastAsia="黑体"/>
        </w:rPr>
        <w:tab/>
      </w:r>
      <w:r>
        <w:rPr>
          <w:rFonts w:eastAsia="黑体"/>
        </w:rPr>
        <w:tab/>
      </w:r>
      <w:r>
        <w:rPr>
          <w:rFonts w:eastAsia="黑体"/>
        </w:rPr>
        <w:tab/>
      </w:r>
      <w:r>
        <w:rPr>
          <w:rFonts w:eastAsia="黑体"/>
        </w:rPr>
        <w:tab/>
      </w:r>
    </w:p>
    <w:p>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总</w:t>
      </w:r>
      <w:r>
        <w:t>表</w:t>
      </w:r>
    </w:p>
    <w:p>
      <w:pPr>
        <w:ind w:left="320" w:leftChars="100" w:firstLine="320" w:firstLineChars="100"/>
      </w:pPr>
      <w:r>
        <w:t>二、收入</w:t>
      </w:r>
      <w:r>
        <w:rPr>
          <w:rFonts w:hint="eastAsia"/>
        </w:rPr>
        <w:t>总</w:t>
      </w:r>
      <w:r>
        <w:t>表</w:t>
      </w:r>
    </w:p>
    <w:p>
      <w:pPr>
        <w:ind w:left="320" w:leftChars="100" w:firstLine="320" w:firstLineChars="100"/>
      </w:pPr>
      <w:r>
        <w:t>三、支出</w:t>
      </w:r>
      <w:r>
        <w:rPr>
          <w:rFonts w:hint="eastAsia"/>
        </w:rPr>
        <w:t>总</w:t>
      </w:r>
      <w:r>
        <w:t>表</w:t>
      </w:r>
    </w:p>
    <w:p>
      <w:pPr>
        <w:ind w:left="320" w:leftChars="100" w:firstLine="320" w:firstLineChars="100"/>
      </w:pPr>
      <w:r>
        <w:t>四、财政拨款收支</w:t>
      </w:r>
      <w:r>
        <w:rPr>
          <w:rFonts w:hint="eastAsia"/>
        </w:rPr>
        <w:t>总</w:t>
      </w:r>
      <w:r>
        <w:t>表</w:t>
      </w:r>
    </w:p>
    <w:p>
      <w:pPr>
        <w:ind w:left="320" w:leftChars="100" w:firstLine="320" w:firstLineChars="100"/>
        <w:rPr>
          <w:rFonts w:hint="eastAsia"/>
        </w:rPr>
      </w:pPr>
      <w:r>
        <w:t>五、</w:t>
      </w:r>
      <w:r>
        <w:rPr>
          <w:rFonts w:hint="eastAsia"/>
        </w:rPr>
        <w:t>一般公共预算支出表</w:t>
      </w:r>
    </w:p>
    <w:p>
      <w:pPr>
        <w:ind w:left="320" w:leftChars="100" w:firstLine="320" w:firstLineChars="100"/>
        <w:rPr>
          <w:rFonts w:hint="eastAsia"/>
        </w:rPr>
      </w:pPr>
      <w:r>
        <w:t>六、</w:t>
      </w:r>
      <w:r>
        <w:rPr>
          <w:rFonts w:hint="eastAsia"/>
        </w:rPr>
        <w:t>一般公共预算基本支出表</w:t>
      </w:r>
    </w:p>
    <w:p>
      <w:pPr>
        <w:ind w:left="320" w:leftChars="100" w:firstLine="320" w:firstLineChars="100"/>
        <w:rPr>
          <w:rFonts w:hint="eastAsia" w:eastAsia="仿宋_GB2312"/>
          <w:color w:val="auto"/>
          <w:lang w:eastAsia="zh-CN"/>
        </w:rPr>
      </w:pPr>
      <w:r>
        <w:rPr>
          <w:rFonts w:hint="eastAsia"/>
          <w:color w:val="auto"/>
          <w:lang w:eastAsia="zh-CN"/>
        </w:rPr>
        <w:t>七、本年一般公共预算支出明细表</w:t>
      </w:r>
    </w:p>
    <w:p>
      <w:pPr>
        <w:ind w:left="320" w:leftChars="100" w:firstLine="320" w:firstLineChars="100"/>
        <w:rPr>
          <w:color w:val="auto"/>
        </w:rPr>
      </w:pPr>
      <w:r>
        <w:rPr>
          <w:rFonts w:hint="eastAsia"/>
          <w:color w:val="auto"/>
          <w:lang w:eastAsia="zh-CN"/>
        </w:rPr>
        <w:t>八</w:t>
      </w:r>
      <w:r>
        <w:rPr>
          <w:color w:val="auto"/>
        </w:rPr>
        <w:t>、一般公共预算“三公”经费支出表</w:t>
      </w:r>
    </w:p>
    <w:p>
      <w:pPr>
        <w:ind w:left="320" w:leftChars="100" w:firstLine="320" w:firstLineChars="100"/>
        <w:rPr>
          <w:color w:val="auto"/>
        </w:rPr>
      </w:pPr>
      <w:r>
        <w:rPr>
          <w:rFonts w:hint="eastAsia"/>
          <w:color w:val="auto"/>
          <w:lang w:eastAsia="zh-CN"/>
        </w:rPr>
        <w:t>九</w:t>
      </w:r>
      <w:r>
        <w:rPr>
          <w:color w:val="auto"/>
        </w:rPr>
        <w:t>、政府性基金预算支出表</w:t>
      </w:r>
    </w:p>
    <w:p>
      <w:pPr>
        <w:ind w:left="320" w:leftChars="100" w:firstLine="320" w:firstLineChars="100"/>
        <w:rPr>
          <w:rFonts w:hint="eastAsia" w:eastAsia="仿宋_GB2312"/>
          <w:color w:val="auto"/>
          <w:lang w:eastAsia="zh-CN"/>
        </w:rPr>
      </w:pPr>
      <w:r>
        <w:rPr>
          <w:rFonts w:hint="eastAsia"/>
          <w:color w:val="auto"/>
          <w:lang w:eastAsia="zh-CN"/>
        </w:rPr>
        <w:t>十、本年政府性基金预算明细表</w:t>
      </w:r>
    </w:p>
    <w:p>
      <w:pPr>
        <w:ind w:left="320" w:leftChars="100" w:firstLine="320" w:firstLineChars="100"/>
        <w:rPr>
          <w:rFonts w:hint="eastAsia"/>
          <w:color w:val="auto"/>
        </w:rPr>
      </w:pPr>
      <w:r>
        <w:rPr>
          <w:rFonts w:hint="eastAsia"/>
          <w:color w:val="auto"/>
          <w:lang w:eastAsia="zh-CN"/>
        </w:rPr>
        <w:t>十一</w:t>
      </w:r>
      <w:r>
        <w:rPr>
          <w:rFonts w:hint="eastAsia"/>
          <w:color w:val="auto"/>
        </w:rPr>
        <w:t>、国有资本经营</w:t>
      </w:r>
      <w:r>
        <w:rPr>
          <w:color w:val="auto"/>
        </w:rPr>
        <w:t>预算支出表</w:t>
      </w:r>
    </w:p>
    <w:p>
      <w:pPr>
        <w:ind w:left="320" w:leftChars="100" w:firstLine="320" w:firstLineChars="100"/>
        <w:rPr>
          <w:rFonts w:hint="eastAsia"/>
        </w:rPr>
      </w:pPr>
      <w:r>
        <w:rPr>
          <w:rFonts w:hint="eastAsia"/>
          <w:lang w:eastAsia="zh-CN"/>
        </w:rPr>
        <w:t>十二、</w:t>
      </w:r>
      <w:r>
        <w:rPr>
          <w:rFonts w:hint="eastAsia"/>
        </w:rPr>
        <w:t>项目支出表</w:t>
      </w:r>
    </w:p>
    <w:p>
      <w:pPr>
        <w:ind w:left="320" w:leftChars="100" w:firstLine="320" w:firstLineChars="100"/>
        <w:rPr>
          <w:rFonts w:hint="eastAsia"/>
        </w:rPr>
      </w:pPr>
      <w:r>
        <w:rPr>
          <w:rFonts w:hint="eastAsia"/>
          <w:lang w:eastAsia="zh-CN"/>
        </w:rPr>
        <w:t>十三</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第一部分 部门概况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jc w:val="left"/>
        <w:rPr>
          <w:szCs w:val="32"/>
        </w:rPr>
      </w:pPr>
      <w:r>
        <w:rPr>
          <w:rFonts w:hint="eastAsia" w:cs="仿宋_GB2312"/>
          <w:color w:val="000000"/>
          <w:szCs w:val="32"/>
          <w:lang w:bidi="ar"/>
        </w:rPr>
        <w:t>（</w:t>
      </w:r>
      <w:r>
        <w:rPr>
          <w:rFonts w:hint="eastAsia" w:cs="仿宋_GB2312"/>
          <w:szCs w:val="32"/>
          <w:lang w:bidi="ar"/>
        </w:rPr>
        <w:t>一）加强党的建设。落实基层党建工作主体责任和领</w:t>
      </w:r>
    </w:p>
    <w:p>
      <w:pPr>
        <w:jc w:val="left"/>
        <w:rPr>
          <w:szCs w:val="32"/>
        </w:rPr>
      </w:pPr>
      <w:r>
        <w:rPr>
          <w:rFonts w:hint="eastAsia" w:cs="仿宋_GB2312"/>
          <w:szCs w:val="32"/>
          <w:lang w:bidi="ar"/>
        </w:rPr>
        <w:t>导责任，坚持和完善党的全面领导，加强党的组织体系建设增强党的政治领导力、思想引领力、群众组织力、社会号召力。统筹抓好辖区内新领域新业态新群体党建工作，强化党的政治建设、思想建设、组织建设、作风建设、纪律建设，把制度建设贯穿其中。全面落实镇党委、政府抓党风廉政建设的主体责任。加强基层意识形态工作。推进党建引领基层治理，提升基层党组织的政治功能和组织力。</w:t>
      </w:r>
    </w:p>
    <w:p>
      <w:pPr>
        <w:ind w:firstLine="640" w:firstLineChars="200"/>
        <w:jc w:val="left"/>
        <w:rPr>
          <w:szCs w:val="32"/>
        </w:rPr>
      </w:pPr>
      <w:r>
        <w:rPr>
          <w:rFonts w:hint="eastAsia" w:cs="仿宋_GB2312"/>
          <w:szCs w:val="32"/>
          <w:lang w:bidi="ar"/>
        </w:rPr>
        <w:t>（二）统筹区域发展。统筹落实乡村振兴发展的重大决策和发展规划，参与辖区公共服务设施建设规划，推动辖区健康、有序、可持续发展。合理确定经济发展职能，因地制宜，组织发展区域特色经济，统筹指导和发展村级集体经济，把经济工作重心转移到推进产业升级、促进经济结构调整和经济增长方式转变上来。统筹做好企业服务工作，营造良好营商环境。实施乡村振兴战略各项政策，落实脱贫攻坚主体责任，提升乡村治理能力，规范“三资”管理工作。</w:t>
      </w:r>
    </w:p>
    <w:p>
      <w:pPr>
        <w:ind w:firstLine="640" w:firstLineChars="200"/>
        <w:jc w:val="left"/>
        <w:rPr>
          <w:szCs w:val="32"/>
        </w:rPr>
      </w:pPr>
      <w:r>
        <w:rPr>
          <w:rFonts w:hint="eastAsia" w:cs="仿宋_GB2312"/>
          <w:szCs w:val="32"/>
          <w:lang w:bidi="ar"/>
        </w:rPr>
        <w:t>（三）组织公共服务。推进政府职能由“管理型”向“服务型”转变，积极推进基本公共服务均等化。推动优质公共服务资源向村（社区）延伸。创新公共服务供给方式，加快建立政府主导、社会参与、公办民办并举的公共服务供给模式，加大政府购买服务力度。组织实施与群众生活密切相关的各项公共服务，负责落实人社、社保、医保、退役军人、民政、教育、科技、文化、体育、旅游、广电、卫生健康、河湖管理等各领域相关政策和辖区内的工作统筹开展。</w:t>
      </w:r>
    </w:p>
    <w:p>
      <w:pPr>
        <w:ind w:firstLine="320" w:firstLineChars="100"/>
        <w:jc w:val="left"/>
        <w:rPr>
          <w:szCs w:val="32"/>
        </w:rPr>
      </w:pPr>
      <w:r>
        <w:rPr>
          <w:rFonts w:hint="eastAsia" w:cs="仿宋_GB2312"/>
          <w:szCs w:val="32"/>
          <w:lang w:bidi="ar"/>
        </w:rPr>
        <w:t>（四）实施综合管理。负责辖区内城乡管理、人口管理、</w:t>
      </w:r>
    </w:p>
    <w:p>
      <w:pPr>
        <w:jc w:val="left"/>
        <w:rPr>
          <w:szCs w:val="32"/>
        </w:rPr>
      </w:pPr>
      <w:r>
        <w:rPr>
          <w:rFonts w:hint="eastAsia" w:cs="仿宋_GB2312"/>
          <w:szCs w:val="32"/>
          <w:lang w:bidi="ar"/>
        </w:rPr>
        <w:t>社会管理等综合性工作，承担组织领导、推进实施、综合协调、监督检查职能和工作责任。统筹抓好协调部门派驻辖区机构的日常管理和考核评价。突出基层治理职责，建立镇村两级共治体系，强化主体责任，着力解决城镇化发展进程中的各种问题。加强和完善经济发展、综合执法、应急管理、自然资源管理、市场监管、生态环境保护等方面职能，落实工作职责。负责对辖区内物业管理的监督检查指导，对辖区住宅小区开展综合管理。</w:t>
      </w:r>
    </w:p>
    <w:p>
      <w:pPr>
        <w:ind w:firstLine="320" w:firstLineChars="100"/>
        <w:jc w:val="left"/>
        <w:rPr>
          <w:szCs w:val="32"/>
        </w:rPr>
      </w:pPr>
      <w:r>
        <w:rPr>
          <w:rFonts w:hint="eastAsia" w:cs="仿宋_GB2312"/>
          <w:szCs w:val="32"/>
          <w:lang w:bidi="ar"/>
        </w:rPr>
        <w:t>（五）动员社会参与。坚持以基层党建引领基层治理，</w:t>
      </w:r>
    </w:p>
    <w:p>
      <w:pPr>
        <w:ind w:firstLine="320" w:firstLineChars="100"/>
        <w:jc w:val="left"/>
        <w:rPr>
          <w:szCs w:val="32"/>
        </w:rPr>
      </w:pPr>
      <w:r>
        <w:rPr>
          <w:rFonts w:hint="eastAsia" w:cs="仿宋_GB2312"/>
          <w:szCs w:val="32"/>
          <w:lang w:bidi="ar"/>
        </w:rPr>
        <w:t>强化统筹领导，负责动员指导辖区内各类单位、社会组织和村（社区）等社会力量参与社会治理，组织引导辖区单位履行社会责任，整合辖区内各种社会力量为镇、村（社区）发展服务。负责做实做强由党建引领的基层共治基本单元，构建党组织统一领导、各类组织积极协同、广大群众广泛参与的基层治理体系，打造共建共治共享格局。</w:t>
      </w:r>
    </w:p>
    <w:p>
      <w:pPr>
        <w:ind w:firstLine="320" w:firstLineChars="100"/>
        <w:jc w:val="left"/>
        <w:rPr>
          <w:szCs w:val="32"/>
        </w:rPr>
      </w:pPr>
      <w:r>
        <w:rPr>
          <w:rFonts w:hint="eastAsia" w:cs="仿宋_GB2312"/>
          <w:szCs w:val="32"/>
          <w:lang w:bidi="ar"/>
        </w:rPr>
        <w:t>（六）领导基层自治。强化指导，发挥村（社区）党组</w:t>
      </w:r>
    </w:p>
    <w:p>
      <w:pPr>
        <w:jc w:val="left"/>
        <w:rPr>
          <w:szCs w:val="32"/>
        </w:rPr>
      </w:pPr>
      <w:r>
        <w:rPr>
          <w:rFonts w:hint="eastAsia" w:cs="仿宋_GB2312"/>
          <w:szCs w:val="32"/>
          <w:lang w:bidi="ar"/>
        </w:rPr>
        <w:t>织在基层群众自治组织建设中的领导作用，完善党领导下的基层社会治理体系，推进社会主义基层协商民主建设，做好组织群众、宣传群众、凝聚群众、服务群众工作，发挥村（居）民在基层社会治理中的主体作用，提高基层自治整体水平。</w:t>
      </w:r>
    </w:p>
    <w:p>
      <w:pPr>
        <w:ind w:firstLine="320" w:firstLineChars="100"/>
        <w:jc w:val="left"/>
        <w:rPr>
          <w:szCs w:val="32"/>
        </w:rPr>
      </w:pPr>
      <w:r>
        <w:rPr>
          <w:rFonts w:hint="eastAsia" w:cs="仿宋_GB2312"/>
          <w:szCs w:val="32"/>
          <w:lang w:bidi="ar"/>
        </w:rPr>
        <w:t>（七）维护安全稳定。组织落实安全稳定工作部署，明确工作职责。负责辖区法制建设、平安建设、综合治理、应急管理、国防动员等有关工作。具体负责处理群众来信来访，做好调解工作，有效化解各类矛盾纠纷等。坚持重心下移、力量下沉、保障下倾，实现辖区安全监管执法和综合治理网格化、一体化，提高公共安全体系精细化水平。</w:t>
      </w:r>
    </w:p>
    <w:p>
      <w:pPr>
        <w:ind w:firstLine="320" w:firstLineChars="100"/>
        <w:jc w:val="left"/>
        <w:rPr>
          <w:szCs w:val="32"/>
        </w:rPr>
      </w:pPr>
      <w:r>
        <w:rPr>
          <w:rFonts w:hint="eastAsia" w:cs="仿宋_GB2312"/>
          <w:szCs w:val="32"/>
          <w:lang w:bidi="ar"/>
        </w:rPr>
        <w:t>（八）深化“放管服”改革和“最多跑一次”改革。落</w:t>
      </w:r>
    </w:p>
    <w:p>
      <w:pPr>
        <w:jc w:val="left"/>
        <w:rPr>
          <w:szCs w:val="32"/>
        </w:rPr>
      </w:pPr>
      <w:r>
        <w:rPr>
          <w:rFonts w:hint="eastAsia" w:cs="仿宋_GB2312"/>
          <w:szCs w:val="32"/>
          <w:lang w:bidi="ar"/>
        </w:rPr>
        <w:t>实领导责任和工作责任，依托镇便民服务平台，推进审批服务事项向便民服务中心集中，落实权责清单，细化服务事项、规范办事程序，保障便民服务中心的审批服务事项到位、权限到位。组织推进镇便民服务平台标准化建设，提高效能，加快实现政务服务马上办、网上办、就近办、一次办，提升政务服务质量。</w:t>
      </w:r>
    </w:p>
    <w:p>
      <w:pPr>
        <w:ind w:firstLine="320" w:firstLineChars="100"/>
        <w:jc w:val="left"/>
        <w:rPr>
          <w:color w:val="000000"/>
          <w:sz w:val="21"/>
          <w:szCs w:val="21"/>
        </w:rPr>
      </w:pPr>
      <w:r>
        <w:rPr>
          <w:rFonts w:hint="eastAsia" w:cs="仿宋_GB2312"/>
          <w:szCs w:val="32"/>
          <w:lang w:bidi="ar"/>
        </w:rPr>
        <w:t>（九）完成法律、法规、规章规定的其他事项和县委、县政府交办的其他任务。</w:t>
      </w:r>
    </w:p>
    <w:p>
      <w:pPr>
        <w:ind w:firstLine="640" w:firstLineChars="200"/>
      </w:pPr>
      <w:r>
        <w:rPr>
          <w:rFonts w:eastAsia="楷体_GB2312"/>
        </w:rPr>
        <w:t>二、机构设置</w:t>
      </w:r>
    </w:p>
    <w:p>
      <w:pPr>
        <w:pStyle w:val="8"/>
        <w:spacing w:before="0" w:beforeAutospacing="0" w:after="0" w:afterAutospacing="0"/>
        <w:ind w:firstLine="640" w:firstLineChars="200"/>
        <w:jc w:val="both"/>
        <w:rPr>
          <w:rFonts w:eastAsia="仿宋_GB2312"/>
        </w:rPr>
      </w:pPr>
      <w:r>
        <w:rPr>
          <w:rFonts w:hint="eastAsia" w:ascii="Times New Roman" w:hAnsi="Times New Roman" w:eastAsia="仿宋_GB2312" w:cs="仿宋_GB2312"/>
          <w:sz w:val="32"/>
          <w:szCs w:val="32"/>
          <w:lang w:bidi="ar"/>
        </w:rPr>
        <w:t>根据上述职责，刘家馆子镇人民政府内设</w:t>
      </w:r>
      <w:r>
        <w:rPr>
          <w:rFonts w:ascii="Times New Roman" w:hAnsi="Times New Roman" w:eastAsia="仿宋_GB2312" w:cs="Times New Roman"/>
          <w:sz w:val="32"/>
          <w:szCs w:val="32"/>
          <w:lang w:bidi="ar"/>
        </w:rPr>
        <w:t>8</w:t>
      </w:r>
      <w:r>
        <w:rPr>
          <w:rFonts w:hint="eastAsia" w:ascii="Times New Roman" w:hAnsi="Times New Roman" w:eastAsia="仿宋_GB2312" w:cs="仿宋_GB2312"/>
          <w:sz w:val="32"/>
          <w:szCs w:val="32"/>
          <w:lang w:bidi="ar"/>
        </w:rPr>
        <w:t>个机构，分别为综合办公室、党建工作办公室、平安建设办公室、社会事务办公室、农业农村办公室、综合行政执法办公室、城乡建设和生态环境办公室、经济发展办公室。</w:t>
      </w:r>
    </w:p>
    <w:p>
      <w:pPr>
        <w:pStyle w:val="81"/>
        <w:rPr>
          <w:rFonts w:eastAsia="黑体"/>
        </w:rPr>
      </w:pPr>
      <w:r>
        <w:rPr>
          <w:rFonts w:hint="eastAsia" w:eastAsia="仿宋_GB2312" w:cs="仿宋_GB2312"/>
          <w:lang w:bidi="ar"/>
        </w:rPr>
        <w:t>下设一家预算单位，分别为梨树县刘家馆子镇人民政府。</w:t>
      </w:r>
      <w:r>
        <w:rPr>
          <w:rFonts w:hint="eastAsia" w:hAnsi="楷体" w:eastAsia="楷体"/>
        </w:rPr>
        <w:br w:type="page"/>
      </w:r>
    </w:p>
    <w:p>
      <w:pPr>
        <w:ind w:firstLine="640" w:firstLineChars="200"/>
        <w:jc w:val="center"/>
        <w:rPr>
          <w:rFonts w:eastAsia="黑体"/>
        </w:rPr>
      </w:pPr>
      <w:r>
        <w:rPr>
          <w:rFonts w:eastAsia="黑体"/>
        </w:rPr>
        <w:t>第二部分 预算表格</w:t>
      </w:r>
    </w:p>
    <w:tbl>
      <w:tblPr>
        <w:tblStyle w:val="12"/>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753"/>
        <w:gridCol w:w="1044"/>
        <w:gridCol w:w="1073"/>
        <w:gridCol w:w="1200"/>
        <w:gridCol w:w="1342"/>
        <w:gridCol w:w="1156"/>
        <w:gridCol w:w="9"/>
        <w:gridCol w:w="1173"/>
        <w:gridCol w:w="1158"/>
      </w:tblGrid>
      <w:tr>
        <w:tblPrEx>
          <w:tblLayout w:type="fixed"/>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vAlign w:val="center"/>
          </w:tcPr>
          <w:p>
            <w:pPr>
              <w:widowControl/>
              <w:jc w:val="center"/>
              <w:rPr>
                <w:rFonts w:eastAsia="方正小标宋简体"/>
                <w:kern w:val="0"/>
                <w:sz w:val="44"/>
                <w:szCs w:val="44"/>
              </w:rPr>
            </w:pPr>
            <w:r>
              <w:rPr>
                <w:rFonts w:hint="eastAsia" w:asciiTheme="minorEastAsia" w:hAnsiTheme="minorEastAsia" w:eastAsiaTheme="minorEastAsia" w:cstheme="minorEastAsia"/>
                <w:kern w:val="0"/>
                <w:sz w:val="44"/>
                <w:szCs w:val="44"/>
              </w:rPr>
              <w:t>收支总表</w:t>
            </w:r>
          </w:p>
        </w:tc>
      </w:tr>
      <w:tr>
        <w:tblPrEx>
          <w:tblLayout w:type="fixed"/>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pPr>
              <w:widowControl/>
              <w:jc w:val="center"/>
              <w:rPr>
                <w:rFonts w:eastAsia="宋体"/>
                <w:kern w:val="0"/>
                <w:sz w:val="20"/>
              </w:rPr>
            </w:pPr>
          </w:p>
        </w:tc>
        <w:tc>
          <w:tcPr>
            <w:tcW w:w="1200" w:type="dxa"/>
            <w:tcBorders>
              <w:top w:val="nil"/>
              <w:left w:val="nil"/>
              <w:bottom w:val="nil"/>
              <w:right w:val="nil"/>
            </w:tcBorders>
            <w:vAlign w:val="center"/>
          </w:tcPr>
          <w:p>
            <w:pPr>
              <w:widowControl/>
              <w:jc w:val="center"/>
              <w:rPr>
                <w:rFonts w:eastAsia="宋体"/>
                <w:kern w:val="0"/>
                <w:sz w:val="20"/>
              </w:rPr>
            </w:pPr>
          </w:p>
        </w:tc>
        <w:tc>
          <w:tcPr>
            <w:tcW w:w="2498" w:type="dxa"/>
            <w:gridSpan w:val="2"/>
            <w:tcBorders>
              <w:top w:val="nil"/>
              <w:left w:val="nil"/>
              <w:bottom w:val="nil"/>
              <w:right w:val="nil"/>
            </w:tcBorders>
            <w:vAlign w:val="center"/>
          </w:tcPr>
          <w:p>
            <w:pPr>
              <w:widowControl/>
              <w:jc w:val="center"/>
              <w:rPr>
                <w:rFonts w:eastAsia="宋体"/>
                <w:kern w:val="0"/>
                <w:sz w:val="20"/>
              </w:rPr>
            </w:pPr>
          </w:p>
        </w:tc>
        <w:tc>
          <w:tcPr>
            <w:tcW w:w="2340" w:type="dxa"/>
            <w:gridSpan w:val="3"/>
            <w:tcBorders>
              <w:top w:val="nil"/>
              <w:left w:val="nil"/>
              <w:bottom w:val="nil"/>
              <w:right w:val="nil"/>
            </w:tcBorders>
            <w:vAlign w:val="center"/>
          </w:tcPr>
          <w:p>
            <w:pPr>
              <w:widowControl/>
              <w:jc w:val="center"/>
              <w:rPr>
                <w:rFonts w:eastAsia="宋体"/>
                <w:kern w:val="0"/>
                <w:sz w:val="20"/>
              </w:rPr>
            </w:pPr>
            <w:r>
              <w:rPr>
                <w:rFonts w:eastAsia="宋体"/>
                <w:kern w:val="0"/>
                <w:sz w:val="20"/>
              </w:rPr>
              <w:t>单位：万元</w:t>
            </w:r>
          </w:p>
        </w:tc>
      </w:tr>
      <w:tr>
        <w:tblPrEx>
          <w:tblLayout w:type="fixed"/>
          <w:tblCellMar>
            <w:top w:w="0" w:type="dxa"/>
            <w:left w:w="108" w:type="dxa"/>
            <w:bottom w:w="0" w:type="dxa"/>
            <w:right w:w="108" w:type="dxa"/>
          </w:tblCellMar>
        </w:tblPrEx>
        <w:trPr>
          <w:trHeight w:val="435" w:hRule="atLeast"/>
        </w:trPr>
        <w:tc>
          <w:tcPr>
            <w:tcW w:w="507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Layout w:type="fixed"/>
          <w:tblCellMar>
            <w:top w:w="0" w:type="dxa"/>
            <w:left w:w="108" w:type="dxa"/>
            <w:bottom w:w="0" w:type="dxa"/>
            <w:right w:w="108" w:type="dxa"/>
          </w:tblCellMar>
        </w:tblPrEx>
        <w:trPr>
          <w:trHeight w:val="435" w:hRule="atLeast"/>
        </w:trPr>
        <w:tc>
          <w:tcPr>
            <w:tcW w:w="1753"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eastAsia="宋体"/>
                <w:kern w:val="0"/>
                <w:sz w:val="20"/>
              </w:rPr>
              <w:t>预算数</w:t>
            </w:r>
          </w:p>
        </w:tc>
        <w:tc>
          <w:tcPr>
            <w:tcW w:w="1073"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当年预算</w:t>
            </w:r>
          </w:p>
        </w:tc>
        <w:tc>
          <w:tcPr>
            <w:tcW w:w="120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年预算数</w:t>
            </w:r>
          </w:p>
        </w:tc>
        <w:tc>
          <w:tcPr>
            <w:tcW w:w="1173" w:type="dxa"/>
            <w:tcBorders>
              <w:top w:val="nil"/>
              <w:left w:val="nil"/>
              <w:bottom w:val="single" w:color="auto" w:sz="4" w:space="0"/>
              <w:right w:val="single" w:color="auto" w:sz="4" w:space="0"/>
            </w:tcBorders>
            <w:vAlign w:val="center"/>
          </w:tcPr>
          <w:p>
            <w:pPr>
              <w:widowControl/>
              <w:jc w:val="center"/>
              <w:rPr>
                <w:rFonts w:hint="eastAsia" w:eastAsia="宋体"/>
                <w:kern w:val="0"/>
                <w:sz w:val="20"/>
              </w:rPr>
            </w:pPr>
            <w:r>
              <w:rPr>
                <w:rFonts w:hint="eastAsia" w:eastAsia="宋体"/>
                <w:kern w:val="0"/>
                <w:sz w:val="20"/>
              </w:rPr>
              <w:t>当年</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一、财政拨款收入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378.84</w:t>
            </w: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378.84</w:t>
            </w: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lang w:val="en-US" w:eastAsia="zh-CN" w:bidi="ar-SA"/>
              </w:rPr>
            </w:pPr>
            <w:r>
              <w:rPr>
                <w:rFonts w:hint="eastAsia" w:eastAsia="宋体"/>
                <w:color w:val="000000"/>
                <w:kern w:val="0"/>
                <w:sz w:val="20"/>
                <w:lang w:val="en-US" w:eastAsia="zh-CN"/>
              </w:rPr>
              <w:t>297.52</w:t>
            </w:r>
          </w:p>
        </w:tc>
        <w:tc>
          <w:tcPr>
            <w:tcW w:w="118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lang w:val="en-US" w:eastAsia="zh-CN" w:bidi="ar-SA"/>
              </w:rPr>
            </w:pPr>
            <w:r>
              <w:rPr>
                <w:rFonts w:hint="eastAsia" w:eastAsia="宋体"/>
                <w:color w:val="000000"/>
                <w:kern w:val="0"/>
                <w:sz w:val="20"/>
                <w:lang w:val="en-US" w:eastAsia="zh-CN"/>
              </w:rPr>
              <w:t>297.52</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一般公共预算拨款收入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378.84</w:t>
            </w: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378.84</w:t>
            </w: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eastAsia="宋体"/>
                <w:color w:val="000000"/>
                <w:kern w:val="0"/>
                <w:sz w:val="20"/>
                <w:lang w:val="en-US" w:eastAsia="zh-CN"/>
              </w:rPr>
              <w:t>47.13</w:t>
            </w:r>
          </w:p>
        </w:tc>
        <w:tc>
          <w:tcPr>
            <w:tcW w:w="1182"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eastAsia="宋体"/>
                <w:color w:val="000000"/>
                <w:kern w:val="0"/>
                <w:sz w:val="20"/>
                <w:lang w:val="en-US" w:eastAsia="zh-CN"/>
              </w:rPr>
              <w:t>47.13</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政府性基金预算拨款收入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eastAsia="宋体"/>
                <w:color w:val="000000"/>
                <w:kern w:val="0"/>
                <w:sz w:val="20"/>
                <w:lang w:val="en-US" w:eastAsia="zh-CN"/>
              </w:rPr>
              <w:t>12.71</w:t>
            </w:r>
          </w:p>
        </w:tc>
        <w:tc>
          <w:tcPr>
            <w:tcW w:w="1182"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eastAsia="宋体"/>
                <w:color w:val="000000"/>
                <w:kern w:val="0"/>
                <w:sz w:val="20"/>
                <w:lang w:val="en-US" w:eastAsia="zh-CN"/>
              </w:rPr>
              <w:t>12.71</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国有资本经营预算拨款收入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eastAsia="宋体"/>
                <w:color w:val="000000"/>
                <w:kern w:val="0"/>
                <w:sz w:val="20"/>
                <w:lang w:val="en-US" w:eastAsia="zh-CN"/>
              </w:rPr>
              <w:t>21.48</w:t>
            </w:r>
          </w:p>
        </w:tc>
        <w:tc>
          <w:tcPr>
            <w:tcW w:w="1182"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eastAsia="宋体"/>
                <w:color w:val="000000"/>
                <w:kern w:val="0"/>
                <w:sz w:val="20"/>
                <w:lang w:val="en-US" w:eastAsia="zh-CN"/>
              </w:rPr>
              <w:t>21.48</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solid" w:color="FFFFFF" w:fill="auto"/>
            <w:vAlign w:val="center"/>
          </w:tcPr>
          <w:p>
            <w:pPr>
              <w:jc w:val="center"/>
              <w:rPr>
                <w:rFonts w:hint="eastAsia" w:eastAsia="宋体"/>
                <w:sz w:val="20"/>
              </w:rPr>
            </w:pPr>
            <w:r>
              <w:rPr>
                <w:rFonts w:hint="eastAsia" w:eastAsia="宋体"/>
                <w:sz w:val="20"/>
              </w:rPr>
              <w:t>二、财政专户管理资金收入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rPr>
            </w:pPr>
            <w:r>
              <w:rPr>
                <w:rFonts w:hint="eastAsia" w:eastAsia="宋体"/>
                <w:sz w:val="20"/>
              </w:rPr>
              <w:t>三、单位资金收入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事业收入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事业单位经营收入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上级补助收入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附属单位上缴收入</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其他收入</w:t>
            </w:r>
          </w:p>
        </w:tc>
        <w:tc>
          <w:tcPr>
            <w:tcW w:w="1044"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0"/>
                <w:szCs w:val="20"/>
                <w:lang w:val="en-US" w:eastAsia="zh-CN" w:bidi="ar-SA"/>
              </w:rPr>
            </w:pPr>
          </w:p>
        </w:tc>
        <w:tc>
          <w:tcPr>
            <w:tcW w:w="1073"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0"/>
                <w:szCs w:val="20"/>
                <w:lang w:val="en-US" w:eastAsia="zh-CN" w:bidi="ar-SA"/>
              </w:rPr>
            </w:pPr>
          </w:p>
        </w:tc>
        <w:tc>
          <w:tcPr>
            <w:tcW w:w="1200" w:type="dxa"/>
            <w:tcBorders>
              <w:top w:val="nil"/>
              <w:left w:val="single" w:color="auto" w:sz="4" w:space="0"/>
              <w:bottom w:val="single" w:color="auto" w:sz="4" w:space="0"/>
              <w:right w:val="nil"/>
            </w:tcBorders>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vAlign w:val="center"/>
          </w:tcPr>
          <w:p>
            <w:pPr>
              <w:jc w:val="center"/>
              <w:rPr>
                <w:rFonts w:hint="eastAsia" w:eastAsia="宋体"/>
                <w:sz w:val="20"/>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378.84</w:t>
            </w: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378.84</w:t>
            </w: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20"/>
                <w:lang w:val="en-US" w:eastAsia="zh-CN" w:bidi="ar-SA"/>
              </w:rPr>
            </w:pPr>
            <w:r>
              <w:rPr>
                <w:rFonts w:hint="eastAsia" w:eastAsia="宋体"/>
                <w:b w:val="0"/>
                <w:bCs w:val="0"/>
                <w:kern w:val="0"/>
                <w:sz w:val="20"/>
                <w:lang w:val="en-US" w:eastAsia="zh-CN"/>
              </w:rPr>
              <w:t>378.84</w:t>
            </w:r>
          </w:p>
        </w:tc>
        <w:tc>
          <w:tcPr>
            <w:tcW w:w="118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kern w:val="0"/>
                <w:sz w:val="20"/>
                <w:lang w:val="en-US" w:eastAsia="zh-CN" w:bidi="ar-SA"/>
              </w:rPr>
            </w:pPr>
            <w:r>
              <w:rPr>
                <w:rFonts w:hint="eastAsia" w:eastAsia="宋体"/>
                <w:b w:val="0"/>
                <w:bCs w:val="0"/>
                <w:kern w:val="0"/>
                <w:sz w:val="20"/>
                <w:lang w:val="en-US" w:eastAsia="zh-CN"/>
              </w:rPr>
              <w:t>378.84</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财政拨款结转</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118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其他收入结转结余</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118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Layout w:type="fixed"/>
          <w:tblCellMar>
            <w:top w:w="0" w:type="dxa"/>
            <w:left w:w="108" w:type="dxa"/>
            <w:bottom w:w="0" w:type="dxa"/>
            <w:right w:w="108" w:type="dxa"/>
          </w:tblCellMar>
        </w:tblPrEx>
        <w:trPr>
          <w:trHeight w:val="745"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eastAsia="黑体"/>
                <w:b/>
                <w:bCs/>
                <w:kern w:val="0"/>
                <w:sz w:val="20"/>
              </w:rPr>
              <w:t>收入总计</w:t>
            </w:r>
          </w:p>
        </w:tc>
        <w:tc>
          <w:tcPr>
            <w:tcW w:w="10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378.84</w:t>
            </w:r>
          </w:p>
        </w:tc>
        <w:tc>
          <w:tcPr>
            <w:tcW w:w="10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378.84</w:t>
            </w: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eastAsia="宋体"/>
                <w:kern w:val="0"/>
                <w:sz w:val="20"/>
                <w:lang w:val="en-US" w:eastAsia="zh-CN"/>
              </w:rPr>
              <w:t>378.84</w:t>
            </w:r>
          </w:p>
        </w:tc>
        <w:tc>
          <w:tcPr>
            <w:tcW w:w="118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eastAsia="宋体"/>
                <w:kern w:val="0"/>
                <w:sz w:val="20"/>
                <w:lang w:val="en-US" w:eastAsia="zh-CN"/>
              </w:rPr>
              <w:t>378.84</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bl>
    <w:p>
      <w:pPr>
        <w:ind w:firstLine="640" w:firstLineChars="200"/>
        <w:rPr>
          <w:rFonts w:eastAsia="楷体_GB2312"/>
          <w:strike/>
        </w:rPr>
      </w:pPr>
    </w:p>
    <w:p>
      <w:pPr>
        <w:ind w:firstLine="640" w:firstLineChars="200"/>
        <w:rPr>
          <w:rFonts w:eastAsia="楷体_GB2312"/>
        </w:rPr>
      </w:pPr>
    </w:p>
    <w:p>
      <w:pPr>
        <w:ind w:firstLine="645"/>
        <w:rPr>
          <w:rFonts w:eastAsia="楷体"/>
        </w:rPr>
      </w:pPr>
      <w:r>
        <w:rPr>
          <w:rFonts w:hAnsi="楷体" w:eastAsia="楷体"/>
        </w:rPr>
        <w:br w:type="page"/>
      </w:r>
    </w:p>
    <w:p>
      <w:pPr>
        <w:jc w:val="center"/>
        <w:rPr>
          <w:rFonts w:eastAsia="方正小标宋简体"/>
          <w:sz w:val="44"/>
        </w:rPr>
      </w:pPr>
      <w:r>
        <w:rPr>
          <w:rFonts w:hint="eastAsia" w:asciiTheme="majorEastAsia" w:hAnsiTheme="majorEastAsia" w:eastAsiaTheme="majorEastAsia" w:cstheme="majorEastAsia"/>
          <w:sz w:val="44"/>
        </w:rPr>
        <w:t>收入总表</w:t>
      </w:r>
    </w:p>
    <w:tbl>
      <w:tblPr>
        <w:tblStyle w:val="12"/>
        <w:tblW w:w="8969" w:type="dxa"/>
        <w:jc w:val="center"/>
        <w:tblInd w:w="0" w:type="dxa"/>
        <w:tblLayout w:type="fixed"/>
        <w:tblCellMar>
          <w:top w:w="0" w:type="dxa"/>
          <w:left w:w="108" w:type="dxa"/>
          <w:bottom w:w="0" w:type="dxa"/>
          <w:right w:w="108" w:type="dxa"/>
        </w:tblCellMar>
      </w:tblPr>
      <w:tblGrid>
        <w:gridCol w:w="428"/>
        <w:gridCol w:w="737"/>
        <w:gridCol w:w="850"/>
        <w:gridCol w:w="875"/>
        <w:gridCol w:w="870"/>
        <w:gridCol w:w="240"/>
        <w:gridCol w:w="262"/>
        <w:gridCol w:w="263"/>
        <w:gridCol w:w="33"/>
        <w:gridCol w:w="217"/>
        <w:gridCol w:w="325"/>
        <w:gridCol w:w="325"/>
        <w:gridCol w:w="194"/>
        <w:gridCol w:w="186"/>
        <w:gridCol w:w="345"/>
        <w:gridCol w:w="41"/>
        <w:gridCol w:w="270"/>
        <w:gridCol w:w="220"/>
        <w:gridCol w:w="196"/>
        <w:gridCol w:w="335"/>
        <w:gridCol w:w="81"/>
        <w:gridCol w:w="416"/>
        <w:gridCol w:w="416"/>
        <w:gridCol w:w="416"/>
        <w:gridCol w:w="387"/>
        <w:gridCol w:w="41"/>
      </w:tblGrid>
      <w:tr>
        <w:tblPrEx>
          <w:tblLayout w:type="fixed"/>
          <w:tblCellMar>
            <w:top w:w="0" w:type="dxa"/>
            <w:left w:w="108" w:type="dxa"/>
            <w:bottom w:w="0" w:type="dxa"/>
            <w:right w:w="108" w:type="dxa"/>
          </w:tblCellMar>
        </w:tblPrEx>
        <w:trPr>
          <w:gridAfter w:val="1"/>
          <w:wAfter w:w="41" w:type="dxa"/>
          <w:trHeight w:val="441" w:hRule="atLeast"/>
          <w:jc w:val="center"/>
        </w:trPr>
        <w:tc>
          <w:tcPr>
            <w:tcW w:w="428" w:type="dxa"/>
            <w:tcBorders>
              <w:bottom w:val="single" w:color="000000" w:sz="4" w:space="0"/>
            </w:tcBorders>
            <w:vAlign w:val="top"/>
          </w:tcPr>
          <w:p>
            <w:pPr>
              <w:autoSpaceDN w:val="0"/>
              <w:jc w:val="left"/>
              <w:textAlignment w:val="center"/>
              <w:rPr>
                <w:rFonts w:eastAsia="华文细黑"/>
                <w:color w:val="000000"/>
                <w:sz w:val="20"/>
              </w:rPr>
            </w:pPr>
          </w:p>
        </w:tc>
        <w:tc>
          <w:tcPr>
            <w:tcW w:w="4130" w:type="dxa"/>
            <w:gridSpan w:val="8"/>
            <w:tcBorders>
              <w:bottom w:val="single" w:color="000000" w:sz="4" w:space="0"/>
            </w:tcBorders>
            <w:vAlign w:val="center"/>
          </w:tcPr>
          <w:p>
            <w:pPr>
              <w:autoSpaceDN w:val="0"/>
              <w:jc w:val="left"/>
              <w:textAlignment w:val="center"/>
              <w:rPr>
                <w:rFonts w:eastAsia="华文细黑"/>
                <w:color w:val="000000"/>
                <w:sz w:val="20"/>
              </w:rPr>
            </w:pPr>
          </w:p>
        </w:tc>
        <w:tc>
          <w:tcPr>
            <w:tcW w:w="1061" w:type="dxa"/>
            <w:gridSpan w:val="4"/>
            <w:vAlign w:val="center"/>
          </w:tcPr>
          <w:p>
            <w:pPr>
              <w:autoSpaceDN w:val="0"/>
              <w:jc w:val="left"/>
              <w:textAlignment w:val="center"/>
              <w:rPr>
                <w:rFonts w:eastAsia="华文细黑"/>
                <w:color w:val="000000"/>
                <w:sz w:val="20"/>
              </w:rPr>
            </w:pPr>
          </w:p>
        </w:tc>
        <w:tc>
          <w:tcPr>
            <w:tcW w:w="531" w:type="dxa"/>
            <w:gridSpan w:val="2"/>
            <w:vAlign w:val="center"/>
          </w:tcPr>
          <w:p>
            <w:pPr>
              <w:autoSpaceDN w:val="0"/>
              <w:jc w:val="left"/>
              <w:textAlignment w:val="center"/>
              <w:rPr>
                <w:rFonts w:eastAsia="华文细黑"/>
                <w:color w:val="000000"/>
                <w:sz w:val="20"/>
              </w:rPr>
            </w:pPr>
          </w:p>
        </w:tc>
        <w:tc>
          <w:tcPr>
            <w:tcW w:w="531" w:type="dxa"/>
            <w:gridSpan w:val="3"/>
            <w:vAlign w:val="center"/>
          </w:tcPr>
          <w:p>
            <w:pPr>
              <w:autoSpaceDN w:val="0"/>
              <w:jc w:val="left"/>
              <w:textAlignment w:val="center"/>
              <w:rPr>
                <w:rFonts w:eastAsia="华文细黑"/>
                <w:color w:val="000000"/>
                <w:sz w:val="20"/>
              </w:rPr>
            </w:pPr>
          </w:p>
        </w:tc>
        <w:tc>
          <w:tcPr>
            <w:tcW w:w="531" w:type="dxa"/>
            <w:gridSpan w:val="2"/>
            <w:vAlign w:val="bottom"/>
          </w:tcPr>
          <w:p>
            <w:pPr>
              <w:autoSpaceDN w:val="0"/>
              <w:jc w:val="left"/>
              <w:textAlignment w:val="bottom"/>
              <w:rPr>
                <w:rFonts w:eastAsia="宋体"/>
                <w:color w:val="000000"/>
                <w:sz w:val="20"/>
              </w:rPr>
            </w:pPr>
          </w:p>
        </w:tc>
        <w:tc>
          <w:tcPr>
            <w:tcW w:w="1716" w:type="dxa"/>
            <w:gridSpan w:val="5"/>
            <w:vAlign w:val="top"/>
          </w:tcPr>
          <w:p>
            <w:pPr>
              <w:wordWrap w:val="0"/>
              <w:autoSpaceDN w:val="0"/>
              <w:jc w:val="right"/>
              <w:textAlignment w:val="center"/>
              <w:rPr>
                <w:rFonts w:eastAsia="宋体"/>
                <w:color w:val="000000"/>
                <w:sz w:val="20"/>
              </w:rPr>
            </w:pPr>
            <w:r>
              <w:rPr>
                <w:rFonts w:eastAsia="宋体"/>
                <w:color w:val="000000"/>
                <w:sz w:val="20"/>
              </w:rPr>
              <w:t xml:space="preserve">  单位：万元</w:t>
            </w:r>
          </w:p>
        </w:tc>
      </w:tr>
      <w:tr>
        <w:tblPrEx>
          <w:tblLayout w:type="fixed"/>
          <w:tblCellMar>
            <w:top w:w="0" w:type="dxa"/>
            <w:left w:w="108" w:type="dxa"/>
            <w:bottom w:w="0" w:type="dxa"/>
            <w:right w:w="108" w:type="dxa"/>
          </w:tblCellMar>
        </w:tblPrEx>
        <w:trPr>
          <w:gridAfter w:val="1"/>
          <w:wAfter w:w="41" w:type="dxa"/>
          <w:trHeight w:val="418" w:hRule="atLeast"/>
          <w:jc w:val="center"/>
        </w:trPr>
        <w:tc>
          <w:tcPr>
            <w:tcW w:w="116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宋体"/>
                <w:color w:val="000000"/>
                <w:sz w:val="20"/>
              </w:rPr>
            </w:pPr>
            <w:r>
              <w:rPr>
                <w:rFonts w:hint="eastAsia" w:eastAsia="宋体"/>
                <w:color w:val="000000"/>
                <w:sz w:val="20"/>
              </w:rPr>
              <w:t>部门       （单位）</w:t>
            </w:r>
          </w:p>
        </w:tc>
        <w:tc>
          <w:tcPr>
            <w:tcW w:w="850" w:type="dxa"/>
            <w:vMerge w:val="restart"/>
            <w:tcBorders>
              <w:top w:val="single" w:color="000000" w:sz="4" w:space="0"/>
              <w:left w:val="single" w:color="000000" w:sz="4" w:space="0"/>
              <w:right w:val="single" w:color="000000" w:sz="4" w:space="0"/>
            </w:tcBorders>
            <w:vAlign w:val="center"/>
          </w:tcPr>
          <w:p>
            <w:pPr>
              <w:shd w:val="solid" w:color="FFFFFF" w:fill="auto"/>
              <w:autoSpaceDN w:val="0"/>
              <w:jc w:val="center"/>
              <w:textAlignment w:val="center"/>
              <w:rPr>
                <w:rFonts w:hint="eastAsia" w:eastAsia="宋体"/>
                <w:color w:val="000000"/>
                <w:sz w:val="20"/>
              </w:rPr>
            </w:pPr>
            <w:r>
              <w:rPr>
                <w:rFonts w:hint="eastAsia" w:eastAsia="宋体"/>
                <w:color w:val="000000"/>
                <w:sz w:val="20"/>
              </w:rPr>
              <w:t>总计</w:t>
            </w:r>
          </w:p>
        </w:tc>
        <w:tc>
          <w:tcPr>
            <w:tcW w:w="4135" w:type="dxa"/>
            <w:gridSpan w:val="1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int="eastAsia" w:eastAsia="宋体"/>
                <w:color w:val="000000"/>
                <w:sz w:val="20"/>
                <w:lang w:eastAsia="zh-CN"/>
              </w:rPr>
            </w:pPr>
            <w:r>
              <w:rPr>
                <w:rFonts w:hint="eastAsia" w:eastAsia="宋体"/>
                <w:color w:val="000000"/>
                <w:sz w:val="20"/>
                <w:lang w:eastAsia="zh-CN"/>
              </w:rPr>
              <w:t>当年预算</w:t>
            </w:r>
          </w:p>
        </w:tc>
        <w:tc>
          <w:tcPr>
            <w:tcW w:w="2778" w:type="dxa"/>
            <w:gridSpan w:val="10"/>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int="eastAsia" w:eastAsia="宋体"/>
                <w:color w:val="000000"/>
                <w:sz w:val="20"/>
              </w:rPr>
            </w:pPr>
            <w:r>
              <w:rPr>
                <w:rFonts w:hint="eastAsia" w:eastAsia="宋体"/>
                <w:color w:val="000000"/>
                <w:sz w:val="20"/>
              </w:rPr>
              <w:t>上年结转结余</w:t>
            </w:r>
          </w:p>
        </w:tc>
      </w:tr>
      <w:tr>
        <w:tblPrEx>
          <w:tblLayout w:type="fixed"/>
          <w:tblCellMar>
            <w:top w:w="0" w:type="dxa"/>
            <w:left w:w="108" w:type="dxa"/>
            <w:bottom w:w="0" w:type="dxa"/>
            <w:right w:w="108" w:type="dxa"/>
          </w:tblCellMar>
        </w:tblPrEx>
        <w:trPr>
          <w:trHeight w:val="1157" w:hRule="atLeast"/>
          <w:jc w:val="center"/>
        </w:trPr>
        <w:tc>
          <w:tcPr>
            <w:tcW w:w="1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autoSpaceDN w:val="0"/>
              <w:jc w:val="center"/>
              <w:rPr>
                <w:rFonts w:eastAsia="宋体"/>
                <w:sz w:val="20"/>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rPr>
            </w:pPr>
            <w:r>
              <w:rPr>
                <w:rFonts w:hint="eastAsia" w:eastAsia="宋体"/>
                <w:sz w:val="20"/>
              </w:rPr>
              <w:t>小计</w:t>
            </w: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rPr>
            </w:pPr>
            <w:r>
              <w:rPr>
                <w:rFonts w:hint="eastAsia" w:eastAsia="宋体"/>
                <w:sz w:val="20"/>
              </w:rPr>
              <w:t>一般公</w:t>
            </w:r>
            <w:r>
              <w:rPr>
                <w:rFonts w:hint="eastAsia" w:eastAsia="宋体"/>
                <w:sz w:val="20"/>
              </w:rPr>
              <w:br w:type="textWrapping"/>
            </w:r>
            <w:r>
              <w:rPr>
                <w:rFonts w:hint="eastAsia" w:eastAsia="宋体"/>
                <w:sz w:val="20"/>
              </w:rPr>
              <w:t>共预算</w:t>
            </w:r>
          </w:p>
        </w:tc>
        <w:tc>
          <w:tcPr>
            <w:tcW w:w="2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rPr>
            </w:pPr>
            <w:r>
              <w:rPr>
                <w:rFonts w:hint="eastAsia" w:eastAsia="宋体"/>
                <w:sz w:val="20"/>
              </w:rPr>
              <w:t>政府性基</w:t>
            </w:r>
            <w:r>
              <w:rPr>
                <w:rFonts w:hint="eastAsia" w:eastAsia="宋体"/>
                <w:sz w:val="20"/>
              </w:rPr>
              <w:br w:type="textWrapping"/>
            </w:r>
            <w:r>
              <w:rPr>
                <w:rFonts w:hint="eastAsia" w:eastAsia="宋体"/>
                <w:sz w:val="20"/>
              </w:rPr>
              <w:t>金预算</w:t>
            </w:r>
          </w:p>
        </w:tc>
        <w:tc>
          <w:tcPr>
            <w:tcW w:w="2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rPr>
            </w:pPr>
            <w:r>
              <w:rPr>
                <w:rFonts w:hint="eastAsia" w:eastAsia="宋体"/>
                <w:sz w:val="20"/>
              </w:rPr>
              <w:t>国有资本</w:t>
            </w:r>
            <w:r>
              <w:rPr>
                <w:rFonts w:hint="eastAsia" w:eastAsia="宋体"/>
                <w:sz w:val="20"/>
              </w:rPr>
              <w:br w:type="textWrapping"/>
            </w:r>
            <w:r>
              <w:rPr>
                <w:rFonts w:hint="eastAsia" w:eastAsia="宋体"/>
                <w:sz w:val="20"/>
              </w:rPr>
              <w:t>经营预算</w:t>
            </w:r>
          </w:p>
        </w:tc>
        <w:tc>
          <w:tcPr>
            <w:tcW w:w="263"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rPr>
            </w:pPr>
            <w:r>
              <w:rPr>
                <w:rFonts w:hint="eastAsia" w:eastAsia="宋体"/>
                <w:sz w:val="20"/>
              </w:rPr>
              <w:t>财政专户</w:t>
            </w:r>
            <w:r>
              <w:rPr>
                <w:rFonts w:hint="eastAsia" w:eastAsia="宋体"/>
                <w:sz w:val="20"/>
              </w:rPr>
              <w:br w:type="textWrapping"/>
            </w:r>
            <w:r>
              <w:rPr>
                <w:rFonts w:hint="eastAsia" w:eastAsia="宋体"/>
                <w:sz w:val="20"/>
              </w:rPr>
              <w:t>管理资金</w:t>
            </w: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rPr>
            </w:pPr>
            <w:r>
              <w:rPr>
                <w:rFonts w:hint="eastAsia" w:eastAsia="宋体"/>
                <w:sz w:val="20"/>
              </w:rPr>
              <w:t>事业收入</w:t>
            </w: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rPr>
            </w:pPr>
            <w:r>
              <w:rPr>
                <w:rFonts w:hint="eastAsia" w:eastAsia="宋体"/>
                <w:sz w:val="20"/>
              </w:rPr>
              <w:t>事业单位</w:t>
            </w:r>
            <w:r>
              <w:rPr>
                <w:rFonts w:hint="eastAsia" w:eastAsia="宋体"/>
                <w:sz w:val="20"/>
              </w:rPr>
              <w:br w:type="textWrapping"/>
            </w:r>
            <w:r>
              <w:rPr>
                <w:rFonts w:hint="eastAsia" w:eastAsia="宋体"/>
                <w:sz w:val="20"/>
              </w:rPr>
              <w:t>经营收入</w:t>
            </w: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rPr>
            </w:pPr>
            <w:r>
              <w:rPr>
                <w:rFonts w:hint="eastAsia" w:eastAsia="宋体"/>
                <w:sz w:val="20"/>
              </w:rPr>
              <w:t>上级</w:t>
            </w:r>
            <w:r>
              <w:rPr>
                <w:rFonts w:hint="eastAsia" w:eastAsia="宋体"/>
                <w:sz w:val="20"/>
              </w:rPr>
              <w:br w:type="textWrapping"/>
            </w:r>
            <w:r>
              <w:rPr>
                <w:rFonts w:hint="eastAsia" w:eastAsia="宋体"/>
                <w:sz w:val="20"/>
              </w:rPr>
              <w:t>补助</w:t>
            </w:r>
            <w:r>
              <w:rPr>
                <w:rFonts w:hint="eastAsia" w:eastAsia="宋体"/>
                <w:sz w:val="20"/>
              </w:rPr>
              <w:br w:type="textWrapping"/>
            </w:r>
            <w:r>
              <w:rPr>
                <w:rFonts w:hint="eastAsia" w:eastAsia="宋体"/>
                <w:sz w:val="20"/>
              </w:rPr>
              <w:t>收入</w:t>
            </w: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rPr>
            </w:pPr>
            <w:r>
              <w:rPr>
                <w:rFonts w:hint="eastAsia" w:eastAsia="宋体"/>
                <w:sz w:val="20"/>
              </w:rPr>
              <w:t>附属单位</w:t>
            </w:r>
            <w:r>
              <w:rPr>
                <w:rFonts w:hint="eastAsia" w:eastAsia="宋体"/>
                <w:sz w:val="20"/>
              </w:rPr>
              <w:br w:type="textWrapping"/>
            </w:r>
            <w:r>
              <w:rPr>
                <w:rFonts w:hint="eastAsia" w:eastAsia="宋体"/>
                <w:sz w:val="20"/>
              </w:rPr>
              <w:t>上缴收入</w:t>
            </w: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rPr>
            </w:pPr>
            <w:r>
              <w:rPr>
                <w:rFonts w:hint="eastAsia" w:eastAsia="宋体"/>
                <w:sz w:val="20"/>
              </w:rPr>
              <w:t>其他</w:t>
            </w:r>
            <w:r>
              <w:rPr>
                <w:rFonts w:hint="eastAsia" w:eastAsia="宋体"/>
                <w:sz w:val="20"/>
              </w:rPr>
              <w:br w:type="textWrapping"/>
            </w:r>
            <w:r>
              <w:rPr>
                <w:rFonts w:hint="eastAsia" w:eastAsia="宋体"/>
                <w:sz w:val="20"/>
              </w:rPr>
              <w:t>收入</w:t>
            </w:r>
          </w:p>
        </w:tc>
        <w:tc>
          <w:tcPr>
            <w:tcW w:w="2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textAlignment w:val="center"/>
              <w:rPr>
                <w:rFonts w:eastAsia="宋体"/>
                <w:sz w:val="20"/>
              </w:rPr>
            </w:pPr>
            <w:r>
              <w:rPr>
                <w:rFonts w:hint="eastAsia" w:ascii="华文细黑" w:hAnsi="华文细黑" w:eastAsia="华文细黑" w:cs="华文细黑"/>
                <w:color w:val="000000"/>
                <w:kern w:val="0"/>
                <w:sz w:val="16"/>
                <w:szCs w:val="16"/>
                <w:lang w:bidi="ar"/>
              </w:rPr>
              <w:t>小计</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N w:val="0"/>
              <w:jc w:val="center"/>
              <w:rPr>
                <w:rFonts w:hint="eastAsia" w:eastAsia="宋体"/>
                <w:sz w:val="20"/>
              </w:rPr>
            </w:pPr>
            <w:r>
              <w:rPr>
                <w:rFonts w:hint="eastAsia" w:eastAsia="宋体"/>
                <w:sz w:val="20"/>
              </w:rPr>
              <w:t>一般公共预算拨款结转</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N w:val="0"/>
              <w:jc w:val="center"/>
              <w:rPr>
                <w:rFonts w:hint="eastAsia" w:eastAsia="宋体"/>
                <w:sz w:val="20"/>
              </w:rPr>
            </w:pPr>
            <w:r>
              <w:rPr>
                <w:rFonts w:hint="eastAsia" w:eastAsia="宋体"/>
                <w:sz w:val="20"/>
              </w:rPr>
              <w:t>政府性基金预算拨款结转</w:t>
            </w:r>
          </w:p>
        </w:tc>
        <w:tc>
          <w:tcPr>
            <w:tcW w:w="416" w:type="dxa"/>
            <w:tcBorders>
              <w:top w:val="single" w:color="000000" w:sz="4" w:space="0"/>
              <w:left w:val="single" w:color="000000" w:sz="4" w:space="0"/>
              <w:bottom w:val="single" w:color="000000" w:sz="4" w:space="0"/>
              <w:right w:val="single" w:color="auto" w:sz="4" w:space="0"/>
            </w:tcBorders>
            <w:shd w:val="clear" w:color="auto" w:fill="FFFFFF"/>
            <w:vAlign w:val="center"/>
          </w:tcPr>
          <w:p>
            <w:pPr>
              <w:autoSpaceDN w:val="0"/>
              <w:jc w:val="center"/>
              <w:rPr>
                <w:rFonts w:hint="eastAsia" w:eastAsia="宋体"/>
                <w:sz w:val="20"/>
              </w:rPr>
            </w:pPr>
            <w:r>
              <w:rPr>
                <w:rFonts w:hint="eastAsia" w:eastAsia="宋体"/>
                <w:sz w:val="20"/>
              </w:rPr>
              <w:t>国有资本经营预算拨款结转</w:t>
            </w:r>
          </w:p>
        </w:tc>
        <w:tc>
          <w:tcPr>
            <w:tcW w:w="416" w:type="dxa"/>
            <w:tcBorders>
              <w:top w:val="single" w:color="000000" w:sz="4" w:space="0"/>
              <w:left w:val="single" w:color="000000" w:sz="4" w:space="0"/>
              <w:bottom w:val="single" w:color="000000" w:sz="4" w:space="0"/>
              <w:right w:val="single" w:color="auto" w:sz="4" w:space="0"/>
            </w:tcBorders>
            <w:shd w:val="clear" w:color="auto" w:fill="FFFFFF"/>
            <w:vAlign w:val="center"/>
          </w:tcPr>
          <w:p>
            <w:pPr>
              <w:autoSpaceDN w:val="0"/>
              <w:jc w:val="center"/>
              <w:rPr>
                <w:rFonts w:hint="eastAsia" w:eastAsia="宋体"/>
                <w:sz w:val="20"/>
              </w:rPr>
            </w:pPr>
            <w:r>
              <w:rPr>
                <w:rFonts w:hint="eastAsia" w:eastAsia="宋体"/>
                <w:sz w:val="20"/>
              </w:rPr>
              <w:t>财政专户管理资金结转结余</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N w:val="0"/>
              <w:jc w:val="center"/>
              <w:rPr>
                <w:rFonts w:hint="eastAsia" w:eastAsia="宋体"/>
                <w:sz w:val="20"/>
              </w:rPr>
            </w:pPr>
            <w:r>
              <w:rPr>
                <w:rFonts w:hint="eastAsia" w:eastAsia="宋体"/>
                <w:sz w:val="20"/>
              </w:rPr>
              <w:t>单位资金结转结余</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eastAsia" w:eastAsia="宋体"/>
                <w:sz w:val="20"/>
              </w:rPr>
            </w:pPr>
            <w:r>
              <w:rPr>
                <w:rFonts w:hint="eastAsia" w:eastAsia="宋体"/>
                <w:sz w:val="20"/>
              </w:rPr>
              <w:t>用事业基</w:t>
            </w:r>
            <w:r>
              <w:rPr>
                <w:rFonts w:hint="eastAsia" w:eastAsia="宋体"/>
                <w:sz w:val="20"/>
              </w:rPr>
              <w:br w:type="textWrapping"/>
            </w:r>
            <w:r>
              <w:rPr>
                <w:rFonts w:hint="eastAsia" w:eastAsia="宋体"/>
                <w:sz w:val="20"/>
              </w:rPr>
              <w:t>金弥补收</w:t>
            </w:r>
            <w:r>
              <w:rPr>
                <w:rFonts w:hint="eastAsia" w:eastAsia="宋体"/>
                <w:sz w:val="20"/>
              </w:rPr>
              <w:br w:type="textWrapping"/>
            </w:r>
            <w:r>
              <w:rPr>
                <w:rFonts w:hint="eastAsia" w:eastAsia="宋体"/>
                <w:sz w:val="20"/>
              </w:rPr>
              <w:t>支差额</w:t>
            </w:r>
          </w:p>
        </w:tc>
      </w:tr>
      <w:tr>
        <w:tblPrEx>
          <w:tblLayout w:type="fixed"/>
          <w:tblCellMar>
            <w:top w:w="0" w:type="dxa"/>
            <w:left w:w="108" w:type="dxa"/>
            <w:bottom w:w="0" w:type="dxa"/>
            <w:right w:w="108" w:type="dxa"/>
          </w:tblCellMar>
        </w:tblPrEx>
        <w:trPr>
          <w:trHeight w:val="523" w:hRule="atLeast"/>
          <w:jc w:val="center"/>
        </w:trPr>
        <w:tc>
          <w:tcPr>
            <w:tcW w:w="1165" w:type="dxa"/>
            <w:gridSpan w:val="2"/>
            <w:tcBorders>
              <w:left w:val="single" w:color="000000" w:sz="4" w:space="0"/>
              <w:right w:val="single" w:color="000000" w:sz="4" w:space="0"/>
            </w:tcBorders>
            <w:vAlign w:val="center"/>
          </w:tcPr>
          <w:p>
            <w:pPr>
              <w:widowControl/>
              <w:jc w:val="left"/>
              <w:rPr>
                <w:rFonts w:hint="eastAsia" w:eastAsia="宋体"/>
                <w:color w:val="000000"/>
                <w:kern w:val="2"/>
                <w:sz w:val="20"/>
                <w:lang w:val="en-US" w:eastAsia="zh-CN" w:bidi="ar-SA"/>
              </w:rPr>
            </w:pPr>
            <w:r>
              <w:rPr>
                <w:rFonts w:hint="eastAsia" w:ascii="宋体" w:hAnsi="宋体" w:eastAsia="宋体" w:cs="宋体"/>
                <w:color w:val="000000"/>
                <w:sz w:val="20"/>
                <w:szCs w:val="20"/>
              </w:rPr>
              <w:t>刘家馆子镇人民政府</w:t>
            </w:r>
          </w:p>
        </w:tc>
        <w:tc>
          <w:tcPr>
            <w:tcW w:w="850"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0"/>
                <w:sz w:val="20"/>
                <w:szCs w:val="20"/>
                <w:lang w:val="en-US" w:eastAsia="zh-CN"/>
              </w:rPr>
              <w:t>378.84</w:t>
            </w:r>
          </w:p>
        </w:tc>
        <w:tc>
          <w:tcPr>
            <w:tcW w:w="875"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0"/>
                <w:sz w:val="20"/>
                <w:szCs w:val="20"/>
                <w:lang w:val="en-US" w:eastAsia="zh-CN"/>
              </w:rPr>
              <w:t>378.84</w:t>
            </w:r>
          </w:p>
        </w:tc>
        <w:tc>
          <w:tcPr>
            <w:tcW w:w="870"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0"/>
                <w:sz w:val="20"/>
                <w:szCs w:val="20"/>
                <w:lang w:val="en-US" w:eastAsia="zh-CN"/>
              </w:rPr>
              <w:t>378.84</w:t>
            </w:r>
          </w:p>
        </w:tc>
        <w:tc>
          <w:tcPr>
            <w:tcW w:w="240" w:type="dxa"/>
            <w:tcBorders>
              <w:top w:val="single" w:color="000000" w:sz="4" w:space="0"/>
              <w:left w:val="single" w:color="000000" w:sz="4" w:space="0"/>
              <w:right w:val="single" w:color="000000" w:sz="4" w:space="0"/>
            </w:tcBorders>
            <w:vAlign w:val="center"/>
          </w:tcPr>
          <w:p>
            <w:pPr>
              <w:shd w:val="solid" w:color="FFFFFF" w:fill="auto"/>
              <w:autoSpaceDN w:val="0"/>
              <w:jc w:val="center"/>
              <w:textAlignment w:val="center"/>
              <w:rPr>
                <w:rFonts w:eastAsia="宋体"/>
                <w:color w:val="000000"/>
                <w:sz w:val="20"/>
              </w:rPr>
            </w:pPr>
          </w:p>
        </w:tc>
        <w:tc>
          <w:tcPr>
            <w:tcW w:w="262"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263" w:type="dxa"/>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eastAsia="宋体"/>
                <w:color w:val="000000"/>
                <w:sz w:val="20"/>
              </w:rPr>
            </w:pPr>
          </w:p>
        </w:tc>
        <w:tc>
          <w:tcPr>
            <w:tcW w:w="250"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325"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325"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380"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386"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270"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vAlign w:val="top"/>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28"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r>
      <w:tr>
        <w:tblPrEx>
          <w:tblLayout w:type="fixed"/>
          <w:tblCellMar>
            <w:top w:w="0" w:type="dxa"/>
            <w:left w:w="108" w:type="dxa"/>
            <w:bottom w:w="0" w:type="dxa"/>
            <w:right w:w="108" w:type="dxa"/>
          </w:tblCellMar>
        </w:tblPrEx>
        <w:trPr>
          <w:trHeight w:val="481" w:hRule="atLeast"/>
          <w:jc w:val="center"/>
        </w:trPr>
        <w:tc>
          <w:tcPr>
            <w:tcW w:w="1165"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456" w:hRule="atLeast"/>
          <w:jc w:val="center"/>
        </w:trPr>
        <w:tc>
          <w:tcPr>
            <w:tcW w:w="1165"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480" w:hRule="atLeast"/>
          <w:jc w:val="center"/>
        </w:trPr>
        <w:tc>
          <w:tcPr>
            <w:tcW w:w="1165"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471" w:hRule="atLeast"/>
          <w:jc w:val="center"/>
        </w:trPr>
        <w:tc>
          <w:tcPr>
            <w:tcW w:w="1165"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461" w:hRule="atLeast"/>
          <w:jc w:val="center"/>
        </w:trPr>
        <w:tc>
          <w:tcPr>
            <w:tcW w:w="1165"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485" w:hRule="atLeast"/>
          <w:jc w:val="center"/>
        </w:trPr>
        <w:tc>
          <w:tcPr>
            <w:tcW w:w="1165" w:type="dxa"/>
            <w:gridSpan w:val="2"/>
            <w:tcBorders>
              <w:top w:val="single" w:color="000000" w:sz="4" w:space="0"/>
              <w:left w:val="single" w:color="000000" w:sz="4" w:space="0"/>
              <w:bottom w:val="single" w:color="000000" w:sz="4" w:space="0"/>
            </w:tcBorders>
            <w:shd w:val="solid" w:color="FFFFFF" w:fill="auto"/>
            <w:vAlign w:val="center"/>
          </w:tcPr>
          <w:p>
            <w:pPr>
              <w:widowControl/>
              <w:jc w:val="center"/>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460" w:hRule="atLeast"/>
          <w:jc w:val="center"/>
        </w:trPr>
        <w:tc>
          <w:tcPr>
            <w:tcW w:w="1165" w:type="dxa"/>
            <w:gridSpan w:val="2"/>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left"/>
              <w:textAlignment w:val="center"/>
              <w:rPr>
                <w:rFonts w:eastAsia="华文细黑"/>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r>
      <w:tr>
        <w:tblPrEx>
          <w:tblLayout w:type="fixed"/>
          <w:tblCellMar>
            <w:top w:w="0" w:type="dxa"/>
            <w:left w:w="108" w:type="dxa"/>
            <w:bottom w:w="0" w:type="dxa"/>
            <w:right w:w="108" w:type="dxa"/>
          </w:tblCellMar>
        </w:tblPrEx>
        <w:trPr>
          <w:trHeight w:val="438" w:hRule="atLeast"/>
          <w:jc w:val="center"/>
        </w:trPr>
        <w:tc>
          <w:tcPr>
            <w:tcW w:w="1165" w:type="dxa"/>
            <w:gridSpan w:val="2"/>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eastAsia="华文细黑"/>
                <w:color w:val="000000"/>
                <w:kern w:val="2"/>
                <w:sz w:val="20"/>
                <w:shd w:val="clear" w:color="auto" w:fill="FFFFFF"/>
                <w:lang w:val="en-US" w:eastAsia="zh-CN" w:bidi="ar-SA"/>
              </w:rPr>
            </w:pPr>
            <w:r>
              <w:rPr>
                <w:rFonts w:eastAsia="宋体"/>
                <w:kern w:val="0"/>
                <w:sz w:val="20"/>
              </w:rPr>
              <w:t>合计</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kern w:val="0"/>
                <w:sz w:val="20"/>
                <w:szCs w:val="20"/>
                <w:lang w:val="en-US" w:eastAsia="zh-CN"/>
              </w:rPr>
              <w:t>378.84</w:t>
            </w:r>
          </w:p>
        </w:tc>
        <w:tc>
          <w:tcPr>
            <w:tcW w:w="8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kern w:val="0"/>
                <w:sz w:val="20"/>
                <w:szCs w:val="20"/>
                <w:lang w:val="en-US" w:eastAsia="zh-CN"/>
              </w:rPr>
              <w:t>378.84</w:t>
            </w: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kern w:val="0"/>
                <w:sz w:val="20"/>
                <w:szCs w:val="20"/>
                <w:lang w:val="en-US" w:eastAsia="zh-CN"/>
              </w:rPr>
              <w:t>378.84</w:t>
            </w:r>
          </w:p>
        </w:tc>
        <w:tc>
          <w:tcPr>
            <w:tcW w:w="24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r>
    </w:tbl>
    <w:p/>
    <w:p>
      <w:pPr>
        <w:ind w:firstLine="640" w:firstLineChars="200"/>
      </w:pPr>
    </w:p>
    <w:p>
      <w:pPr>
        <w:ind w:firstLine="640" w:firstLineChars="200"/>
        <w:rPr>
          <w:rFonts w:eastAsia="楷体"/>
        </w:rPr>
      </w:pPr>
      <w:r>
        <w:rPr>
          <w:rFonts w:hAnsi="楷体" w:eastAsia="楷体"/>
        </w:rPr>
        <w:br w:type="page"/>
      </w:r>
    </w:p>
    <w:tbl>
      <w:tblPr>
        <w:tblStyle w:val="12"/>
        <w:tblW w:w="10405" w:type="dxa"/>
        <w:jc w:val="center"/>
        <w:tblInd w:w="0" w:type="dxa"/>
        <w:tblLayout w:type="fixed"/>
        <w:tblCellMar>
          <w:top w:w="0" w:type="dxa"/>
          <w:left w:w="108" w:type="dxa"/>
          <w:bottom w:w="0" w:type="dxa"/>
          <w:right w:w="108" w:type="dxa"/>
        </w:tblCellMar>
      </w:tblPr>
      <w:tblGrid>
        <w:gridCol w:w="10405"/>
      </w:tblGrid>
      <w:tr>
        <w:tblPrEx>
          <w:tblLayout w:type="fixed"/>
          <w:tblCellMar>
            <w:top w:w="0" w:type="dxa"/>
            <w:left w:w="108" w:type="dxa"/>
            <w:bottom w:w="0" w:type="dxa"/>
            <w:right w:w="108" w:type="dxa"/>
          </w:tblCellMar>
        </w:tblPrEx>
        <w:trPr>
          <w:trHeight w:val="11822" w:hRule="atLeast"/>
          <w:jc w:val="center"/>
        </w:trPr>
        <w:tc>
          <w:tcPr>
            <w:tcW w:w="10405" w:type="dxa"/>
            <w:tcBorders>
              <w:top w:val="nil"/>
              <w:left w:val="nil"/>
              <w:bottom w:val="nil"/>
              <w:right w:val="nil"/>
            </w:tcBorders>
            <w:vAlign w:val="bottom"/>
          </w:tcPr>
          <w:p>
            <w:pPr>
              <w:widowControl/>
              <w:jc w:val="center"/>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支出总表</w:t>
            </w:r>
          </w:p>
          <w:tbl>
            <w:tblPr>
              <w:tblStyle w:val="12"/>
              <w:tblW w:w="9843" w:type="dxa"/>
              <w:tblInd w:w="445" w:type="dxa"/>
              <w:tblLayout w:type="fixed"/>
              <w:tblCellMar>
                <w:top w:w="15" w:type="dxa"/>
                <w:left w:w="15" w:type="dxa"/>
                <w:bottom w:w="15" w:type="dxa"/>
                <w:right w:w="15" w:type="dxa"/>
              </w:tblCellMar>
            </w:tblPr>
            <w:tblGrid>
              <w:gridCol w:w="2150"/>
              <w:gridCol w:w="1267"/>
              <w:gridCol w:w="1306"/>
              <w:gridCol w:w="1090"/>
              <w:gridCol w:w="1297"/>
              <w:gridCol w:w="1267"/>
              <w:gridCol w:w="30"/>
              <w:gridCol w:w="1297"/>
              <w:gridCol w:w="139"/>
            </w:tblGrid>
            <w:tr>
              <w:tblPrEx>
                <w:tblLayout w:type="fixed"/>
                <w:tblCellMar>
                  <w:top w:w="15" w:type="dxa"/>
                  <w:left w:w="15" w:type="dxa"/>
                  <w:bottom w:w="15" w:type="dxa"/>
                  <w:right w:w="15" w:type="dxa"/>
                </w:tblCellMar>
              </w:tblPrEx>
              <w:trPr>
                <w:gridAfter w:val="1"/>
                <w:wAfter w:w="139" w:type="dxa"/>
                <w:trHeight w:val="390" w:hRule="atLeast"/>
              </w:trPr>
              <w:tc>
                <w:tcPr>
                  <w:tcW w:w="5813" w:type="dxa"/>
                  <w:gridSpan w:val="4"/>
                  <w:tcBorders>
                    <w:bottom w:val="single" w:color="000000" w:sz="4" w:space="0"/>
                  </w:tcBorders>
                  <w:vAlign w:val="center"/>
                </w:tcPr>
                <w:p>
                  <w:pPr>
                    <w:widowControl/>
                    <w:jc w:val="left"/>
                    <w:rPr>
                      <w:rFonts w:eastAsia="华文细黑"/>
                      <w:color w:val="000000"/>
                      <w:kern w:val="0"/>
                      <w:sz w:val="20"/>
                    </w:rPr>
                  </w:pPr>
                </w:p>
              </w:tc>
              <w:tc>
                <w:tcPr>
                  <w:tcW w:w="1297" w:type="dxa"/>
                  <w:tcBorders>
                    <w:bottom w:val="single" w:color="000000" w:sz="4" w:space="0"/>
                  </w:tcBorders>
                  <w:vAlign w:val="center"/>
                </w:tcPr>
                <w:p>
                  <w:pPr>
                    <w:widowControl/>
                    <w:jc w:val="right"/>
                    <w:rPr>
                      <w:rFonts w:eastAsia="华文细黑"/>
                      <w:color w:val="000000"/>
                      <w:kern w:val="0"/>
                      <w:sz w:val="20"/>
                    </w:rPr>
                  </w:pPr>
                </w:p>
              </w:tc>
              <w:tc>
                <w:tcPr>
                  <w:tcW w:w="1297" w:type="dxa"/>
                  <w:gridSpan w:val="2"/>
                  <w:tcBorders>
                    <w:bottom w:val="single" w:color="000000" w:sz="4" w:space="0"/>
                  </w:tcBorders>
                  <w:vAlign w:val="center"/>
                </w:tcPr>
                <w:p>
                  <w:pPr>
                    <w:widowControl/>
                    <w:jc w:val="right"/>
                    <w:rPr>
                      <w:rFonts w:eastAsia="华文细黑"/>
                      <w:color w:val="000000"/>
                      <w:kern w:val="0"/>
                      <w:sz w:val="20"/>
                    </w:rPr>
                  </w:pPr>
                </w:p>
              </w:tc>
              <w:tc>
                <w:tcPr>
                  <w:tcW w:w="1297" w:type="dxa"/>
                  <w:tcBorders>
                    <w:bottom w:val="single" w:color="000000" w:sz="4" w:space="0"/>
                  </w:tcBorders>
                  <w:vAlign w:val="center"/>
                </w:tcPr>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1420" w:hRule="atLeast"/>
              </w:trPr>
              <w:tc>
                <w:tcPr>
                  <w:tcW w:w="2150"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Layout w:type="fixed"/>
                <w:tblCellMar>
                  <w:top w:w="15" w:type="dxa"/>
                  <w:left w:w="15" w:type="dxa"/>
                  <w:bottom w:w="15" w:type="dxa"/>
                  <w:right w:w="15" w:type="dxa"/>
                </w:tblCellMar>
              </w:tblPrEx>
              <w:trPr>
                <w:trHeight w:val="531"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297.52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297.52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政府办公厅及相关事务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297.52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297.52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297.52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297.52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47.13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47.13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民政管理事务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基层政权和社区治理</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42.97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42.97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28.65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28.65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14.32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1.61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1.61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0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12.71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0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2.71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2.71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25"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11.4</w:t>
                  </w:r>
                  <w:r>
                    <w:rPr>
                      <w:rFonts w:hint="eastAsia" w:ascii="宋体" w:hAnsi="宋体" w:eastAsia="宋体" w:cs="宋体"/>
                      <w:color w:val="000000"/>
                      <w:kern w:val="0"/>
                      <w:sz w:val="20"/>
                      <w:szCs w:val="20"/>
                    </w:rPr>
                    <w:t>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11.4</w:t>
                  </w:r>
                  <w:r>
                    <w:rPr>
                      <w:rFonts w:hint="eastAsia" w:ascii="宋体" w:hAnsi="宋体" w:eastAsia="宋体" w:cs="宋体"/>
                      <w:color w:val="000000"/>
                      <w:kern w:val="0"/>
                      <w:sz w:val="20"/>
                      <w:szCs w:val="20"/>
                    </w:rPr>
                    <w:t>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25"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公务员医疗补助</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25"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21.48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w:t>
                  </w:r>
                  <w:r>
                    <w:rPr>
                      <w:rFonts w:hint="eastAsia" w:ascii="宋体" w:hAnsi="宋体" w:eastAsia="宋体" w:cs="宋体"/>
                      <w:color w:val="000000"/>
                      <w:kern w:val="0"/>
                      <w:sz w:val="20"/>
                      <w:szCs w:val="20"/>
                    </w:rPr>
                    <w:t>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21.4</w:t>
                  </w:r>
                  <w:r>
                    <w:rPr>
                      <w:rFonts w:hint="eastAsia" w:ascii="宋体" w:hAnsi="宋体" w:eastAsia="宋体" w:cs="宋体"/>
                      <w:color w:val="000000"/>
                      <w:kern w:val="0"/>
                      <w:sz w:val="20"/>
                      <w:szCs w:val="20"/>
                    </w:rPr>
                    <w:t>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21.4</w:t>
                  </w:r>
                  <w:r>
                    <w:rPr>
                      <w:rFonts w:hint="eastAsia" w:ascii="宋体" w:hAnsi="宋体" w:eastAsia="宋体" w:cs="宋体"/>
                      <w:color w:val="000000"/>
                      <w:kern w:val="0"/>
                      <w:sz w:val="20"/>
                      <w:szCs w:val="20"/>
                    </w:rPr>
                    <w:t>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21.4</w:t>
                  </w:r>
                  <w:r>
                    <w:rPr>
                      <w:rFonts w:hint="eastAsia" w:ascii="宋体" w:hAnsi="宋体" w:eastAsia="宋体" w:cs="宋体"/>
                      <w:color w:val="000000"/>
                      <w:kern w:val="0"/>
                      <w:sz w:val="20"/>
                      <w:szCs w:val="20"/>
                    </w:rPr>
                    <w:t>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85"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378.84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378.84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tbl>
      <w:tblPr>
        <w:tblStyle w:val="12"/>
        <w:tblpPr w:leftFromText="180" w:rightFromText="180" w:vertAnchor="page" w:horzAnchor="page" w:tblpX="1151" w:tblpY="2437"/>
        <w:tblOverlap w:val="never"/>
        <w:tblW w:w="9880" w:type="dxa"/>
        <w:tblInd w:w="0" w:type="dxa"/>
        <w:tblLayout w:type="fixed"/>
        <w:tblCellMar>
          <w:top w:w="0" w:type="dxa"/>
          <w:left w:w="108" w:type="dxa"/>
          <w:bottom w:w="0" w:type="dxa"/>
          <w:right w:w="108" w:type="dxa"/>
        </w:tblCellMar>
      </w:tblPr>
      <w:tblGrid>
        <w:gridCol w:w="1892"/>
        <w:gridCol w:w="926"/>
        <w:gridCol w:w="850"/>
        <w:gridCol w:w="563"/>
        <w:gridCol w:w="1721"/>
        <w:gridCol w:w="864"/>
        <w:gridCol w:w="865"/>
        <w:gridCol w:w="623"/>
        <w:gridCol w:w="804"/>
        <w:gridCol w:w="772"/>
      </w:tblGrid>
      <w:tr>
        <w:tblPrEx>
          <w:tblLayout w:type="fixed"/>
          <w:tblCellMar>
            <w:top w:w="0" w:type="dxa"/>
            <w:left w:w="108" w:type="dxa"/>
            <w:bottom w:w="0" w:type="dxa"/>
            <w:right w:w="108" w:type="dxa"/>
          </w:tblCellMar>
        </w:tblPrEx>
        <w:trPr>
          <w:trHeight w:val="663" w:hRule="atLeast"/>
        </w:trPr>
        <w:tc>
          <w:tcPr>
            <w:tcW w:w="9880" w:type="dxa"/>
            <w:gridSpan w:val="10"/>
            <w:tcBorders>
              <w:top w:val="nil"/>
              <w:left w:val="nil"/>
              <w:bottom w:val="nil"/>
              <w:right w:val="nil"/>
            </w:tcBorders>
            <w:vAlign w:val="center"/>
          </w:tcPr>
          <w:p>
            <w:pPr>
              <w:ind w:firstLine="2640" w:firstLineChars="600"/>
              <w:rPr>
                <w:rFonts w:eastAsia="方正小标宋简体"/>
                <w:kern w:val="0"/>
                <w:sz w:val="44"/>
                <w:szCs w:val="44"/>
              </w:rPr>
            </w:pPr>
            <w:r>
              <w:rPr>
                <w:rFonts w:hint="eastAsia" w:asciiTheme="majorEastAsia" w:hAnsiTheme="majorEastAsia" w:eastAsiaTheme="majorEastAsia" w:cstheme="majorEastAsia"/>
                <w:kern w:val="0"/>
                <w:sz w:val="44"/>
                <w:szCs w:val="44"/>
              </w:rPr>
              <w:t>财政拨款收支预算表</w:t>
            </w:r>
          </w:p>
        </w:tc>
      </w:tr>
      <w:tr>
        <w:tblPrEx>
          <w:tblLayout w:type="fixed"/>
          <w:tblCellMar>
            <w:top w:w="0" w:type="dxa"/>
            <w:left w:w="108" w:type="dxa"/>
            <w:bottom w:w="0" w:type="dxa"/>
            <w:right w:w="108" w:type="dxa"/>
          </w:tblCellMar>
        </w:tblPrEx>
        <w:trPr>
          <w:trHeight w:val="583" w:hRule="atLeast"/>
        </w:trPr>
        <w:tc>
          <w:tcPr>
            <w:tcW w:w="9880" w:type="dxa"/>
            <w:gridSpan w:val="10"/>
            <w:tcBorders>
              <w:top w:val="nil"/>
              <w:left w:val="nil"/>
              <w:bottom w:val="nil"/>
              <w:right w:val="nil"/>
            </w:tcBorders>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Layout w:type="fixed"/>
          <w:tblCellMar>
            <w:top w:w="0" w:type="dxa"/>
            <w:left w:w="108" w:type="dxa"/>
            <w:bottom w:w="0" w:type="dxa"/>
            <w:right w:w="108" w:type="dxa"/>
          </w:tblCellMar>
        </w:tblPrEx>
        <w:trPr>
          <w:trHeight w:val="521" w:hRule="atLeast"/>
        </w:trPr>
        <w:tc>
          <w:tcPr>
            <w:tcW w:w="423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564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支      出</w:t>
            </w:r>
          </w:p>
        </w:tc>
      </w:tr>
      <w:tr>
        <w:tblPrEx>
          <w:tblLayout w:type="fixed"/>
          <w:tblCellMar>
            <w:top w:w="0" w:type="dxa"/>
            <w:left w:w="108" w:type="dxa"/>
            <w:bottom w:w="0" w:type="dxa"/>
            <w:right w:w="108" w:type="dxa"/>
          </w:tblCellMar>
        </w:tblPrEx>
        <w:trPr>
          <w:trHeight w:val="528" w:hRule="atLeast"/>
        </w:trPr>
        <w:tc>
          <w:tcPr>
            <w:tcW w:w="1892" w:type="dxa"/>
            <w:vMerge w:val="restart"/>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926" w:type="dxa"/>
            <w:vMerge w:val="restart"/>
            <w:tcBorders>
              <w:top w:val="single" w:color="auto" w:sz="4" w:space="0"/>
              <w:left w:val="single" w:color="auto" w:sz="4" w:space="0"/>
              <w:right w:val="single" w:color="auto" w:sz="4" w:space="0"/>
            </w:tcBorders>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年预算</w:t>
            </w:r>
            <w:r>
              <w:rPr>
                <w:rFonts w:hint="eastAsia" w:eastAsia="宋体"/>
                <w:kern w:val="0"/>
                <w:sz w:val="20"/>
                <w:lang w:eastAsia="zh-CN"/>
              </w:rPr>
              <w:t>数</w:t>
            </w:r>
          </w:p>
        </w:tc>
        <w:tc>
          <w:tcPr>
            <w:tcW w:w="850" w:type="dxa"/>
            <w:vMerge w:val="restart"/>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当年预算</w:t>
            </w:r>
          </w:p>
        </w:tc>
        <w:tc>
          <w:tcPr>
            <w:tcW w:w="563" w:type="dxa"/>
            <w:vMerge w:val="restart"/>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1721" w:type="dxa"/>
            <w:vMerge w:val="restart"/>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864" w:type="dxa"/>
            <w:vMerge w:val="restart"/>
            <w:tcBorders>
              <w:top w:val="single" w:color="auto" w:sz="4" w:space="0"/>
              <w:left w:val="single" w:color="auto" w:sz="4" w:space="0"/>
              <w:right w:val="single" w:color="auto" w:sz="4" w:space="0"/>
            </w:tcBorders>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年预算</w:t>
            </w:r>
            <w:r>
              <w:rPr>
                <w:rFonts w:hint="eastAsia" w:eastAsia="宋体"/>
                <w:kern w:val="0"/>
                <w:sz w:val="20"/>
                <w:lang w:eastAsia="zh-CN"/>
              </w:rPr>
              <w:t>数</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一般公共预算</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政府性基金预算</w:t>
            </w:r>
          </w:p>
        </w:tc>
      </w:tr>
      <w:tr>
        <w:tblPrEx>
          <w:tblLayout w:type="fixed"/>
          <w:tblCellMar>
            <w:top w:w="0" w:type="dxa"/>
            <w:left w:w="108" w:type="dxa"/>
            <w:bottom w:w="0" w:type="dxa"/>
            <w:right w:w="108" w:type="dxa"/>
          </w:tblCellMar>
        </w:tblPrEx>
        <w:trPr>
          <w:trHeight w:val="955" w:hRule="atLeast"/>
        </w:trPr>
        <w:tc>
          <w:tcPr>
            <w:tcW w:w="1892" w:type="dxa"/>
            <w:vMerge w:val="continue"/>
            <w:tcBorders>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926" w:type="dxa"/>
            <w:vMerge w:val="continue"/>
            <w:tcBorders>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850" w:type="dxa"/>
            <w:vMerge w:val="continue"/>
            <w:tcBorders>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563" w:type="dxa"/>
            <w:vMerge w:val="continue"/>
            <w:tcBorders>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721" w:type="dxa"/>
            <w:vMerge w:val="continue"/>
            <w:tcBorders>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864" w:type="dxa"/>
            <w:vMerge w:val="continue"/>
            <w:tcBorders>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当年预算</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当年预算</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Layout w:type="fixed"/>
          <w:tblCellMar>
            <w:top w:w="0" w:type="dxa"/>
            <w:left w:w="108" w:type="dxa"/>
            <w:bottom w:w="0" w:type="dxa"/>
            <w:right w:w="108" w:type="dxa"/>
          </w:tblCellMar>
        </w:tblPrEx>
        <w:trPr>
          <w:trHeight w:val="521"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378.84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378.84</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一、一般公共服务</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297.52</w:t>
            </w: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297.52</w:t>
            </w: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378.84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378.84</w:t>
            </w:r>
          </w:p>
        </w:tc>
        <w:tc>
          <w:tcPr>
            <w:tcW w:w="563"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86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47.13</w:t>
            </w:r>
          </w:p>
        </w:tc>
        <w:tc>
          <w:tcPr>
            <w:tcW w:w="86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47.13</w:t>
            </w: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rPr>
            </w:pPr>
          </w:p>
        </w:tc>
        <w:tc>
          <w:tcPr>
            <w:tcW w:w="563"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86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12.71</w:t>
            </w:r>
          </w:p>
        </w:tc>
        <w:tc>
          <w:tcPr>
            <w:tcW w:w="86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12.71</w:t>
            </w: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rPr>
            </w:pPr>
          </w:p>
        </w:tc>
        <w:tc>
          <w:tcPr>
            <w:tcW w:w="563"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四、住房保障支出</w:t>
            </w:r>
          </w:p>
        </w:tc>
        <w:tc>
          <w:tcPr>
            <w:tcW w:w="864"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21.48</w:t>
            </w:r>
          </w:p>
        </w:tc>
        <w:tc>
          <w:tcPr>
            <w:tcW w:w="86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21.48</w:t>
            </w: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0"/>
              </w:rPr>
            </w:pPr>
            <w:r>
              <w:rPr>
                <w:rFonts w:eastAsia="宋体"/>
                <w:b/>
                <w:bCs/>
                <w:kern w:val="0"/>
                <w:sz w:val="20"/>
              </w:rPr>
              <w:t>本年收入合计</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378.84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378.84</w:t>
            </w:r>
          </w:p>
        </w:tc>
        <w:tc>
          <w:tcPr>
            <w:tcW w:w="563"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b/>
                <w:bCs/>
                <w:kern w:val="0"/>
                <w:sz w:val="20"/>
              </w:rPr>
              <w:t>本年支出合计</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378.84</w:t>
            </w: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378.84</w:t>
            </w: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Cs/>
                <w:kern w:val="0"/>
                <w:sz w:val="20"/>
              </w:rPr>
            </w:pPr>
            <w:r>
              <w:rPr>
                <w:rFonts w:hint="eastAsia" w:eastAsia="宋体"/>
                <w:bCs/>
                <w:kern w:val="0"/>
                <w:sz w:val="20"/>
              </w:rPr>
              <w:t>财政拨款结转</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rPr>
                <w:rFonts w:eastAsia="宋体"/>
                <w:b/>
                <w:bCs/>
                <w:kern w:val="0"/>
                <w:sz w:val="20"/>
              </w:rPr>
            </w:pPr>
            <w:r>
              <w:rPr>
                <w:rFonts w:eastAsia="宋体"/>
                <w:kern w:val="0"/>
                <w:sz w:val="20"/>
              </w:rPr>
              <w:t>结转下年</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0"/>
                <w:lang w:val="en-US" w:eastAsia="zh-CN" w:bidi="ar-SA"/>
              </w:rPr>
            </w:pPr>
          </w:p>
        </w:tc>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0"/>
                <w:lang w:val="en-US" w:eastAsia="zh-CN" w:bidi="ar-SA"/>
              </w:rPr>
            </w:pP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r>
              <w:rPr>
                <w:rFonts w:eastAsia="宋体"/>
                <w:sz w:val="20"/>
              </w:rPr>
              <w:t>一般公共预算拨款</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378.84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378.84</w:t>
            </w:r>
          </w:p>
        </w:tc>
        <w:tc>
          <w:tcPr>
            <w:tcW w:w="563"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0"/>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r>
              <w:rPr>
                <w:rFonts w:eastAsia="宋体"/>
                <w:sz w:val="20"/>
              </w:rPr>
              <w:t>政府性基金预算拨款</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563"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0"/>
              </w:rPr>
            </w:pPr>
            <w:r>
              <w:rPr>
                <w:rFonts w:eastAsia="宋体"/>
                <w:kern w:val="0"/>
                <w:sz w:val="20"/>
              </w:rPr>
              <w:t>　</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r>
        <w:tblPrEx>
          <w:tblLayout w:type="fixed"/>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r>
              <w:rPr>
                <w:rFonts w:hint="eastAsia" w:eastAsia="宋体"/>
                <w:sz w:val="20"/>
              </w:rPr>
              <w:t>国有资本经营预算拨款</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sz w:val="20"/>
              </w:rPr>
            </w:pPr>
          </w:p>
        </w:tc>
        <w:tc>
          <w:tcPr>
            <w:tcW w:w="563"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0"/>
                <w:lang w:val="en-US" w:eastAsia="zh-CN" w:bidi="ar-SA"/>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0"/>
                <w:lang w:val="en-US" w:eastAsia="zh-CN" w:bidi="ar-SA"/>
              </w:rPr>
            </w:pPr>
          </w:p>
        </w:tc>
        <w:tc>
          <w:tcPr>
            <w:tcW w:w="623" w:type="dxa"/>
            <w:tcBorders>
              <w:top w:val="single" w:color="auto" w:sz="4" w:space="0"/>
              <w:left w:val="single" w:color="auto" w:sz="4" w:space="0"/>
              <w:bottom w:val="single" w:color="auto" w:sz="4" w:space="0"/>
              <w:right w:val="single" w:color="auto" w:sz="4" w:space="0"/>
            </w:tcBorders>
            <w:vAlign w:val="top"/>
          </w:tcPr>
          <w:p>
            <w:pPr>
              <w:ind w:firstLine="200" w:firstLineChars="100"/>
              <w:rPr>
                <w:rFonts w:eastAsia="宋体"/>
                <w:sz w:val="20"/>
              </w:rPr>
            </w:pPr>
          </w:p>
        </w:tc>
        <w:tc>
          <w:tcPr>
            <w:tcW w:w="804" w:type="dxa"/>
            <w:tcBorders>
              <w:top w:val="single" w:color="auto" w:sz="4" w:space="0"/>
              <w:left w:val="single" w:color="auto" w:sz="4" w:space="0"/>
              <w:bottom w:val="single" w:color="auto" w:sz="4" w:space="0"/>
              <w:right w:val="single" w:color="auto" w:sz="4" w:space="0"/>
            </w:tcBorders>
            <w:vAlign w:val="top"/>
          </w:tcPr>
          <w:p>
            <w:pPr>
              <w:ind w:firstLine="200" w:firstLineChars="100"/>
              <w:rPr>
                <w:rFonts w:eastAsia="宋体"/>
                <w:sz w:val="20"/>
              </w:rPr>
            </w:pPr>
          </w:p>
        </w:tc>
        <w:tc>
          <w:tcPr>
            <w:tcW w:w="772" w:type="dxa"/>
            <w:tcBorders>
              <w:top w:val="single" w:color="auto" w:sz="4" w:space="0"/>
              <w:left w:val="single" w:color="auto" w:sz="4" w:space="0"/>
              <w:bottom w:val="single" w:color="auto" w:sz="4" w:space="0"/>
              <w:right w:val="single" w:color="auto" w:sz="4" w:space="0"/>
            </w:tcBorders>
            <w:vAlign w:val="top"/>
          </w:tcPr>
          <w:p>
            <w:pPr>
              <w:ind w:firstLine="200" w:firstLineChars="100"/>
              <w:rPr>
                <w:rFonts w:eastAsia="宋体"/>
                <w:sz w:val="20"/>
              </w:rPr>
            </w:pPr>
          </w:p>
        </w:tc>
      </w:tr>
      <w:tr>
        <w:tblPrEx>
          <w:tblLayout w:type="fixed"/>
          <w:tblCellMar>
            <w:top w:w="0" w:type="dxa"/>
            <w:left w:w="108" w:type="dxa"/>
            <w:bottom w:w="0" w:type="dxa"/>
            <w:right w:w="108" w:type="dxa"/>
          </w:tblCellMar>
        </w:tblPrEx>
        <w:trPr>
          <w:trHeight w:val="471"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收入总计</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799.95</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黑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支出总计</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378.84</w:t>
            </w: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378.84</w:t>
            </w:r>
          </w:p>
        </w:tc>
        <w:tc>
          <w:tcPr>
            <w:tcW w:w="623"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vAlign w:val="top"/>
          </w:tcPr>
          <w:p>
            <w:pPr>
              <w:widowControl/>
              <w:jc w:val="right"/>
              <w:rPr>
                <w:rFonts w:eastAsia="宋体"/>
                <w:kern w:val="0"/>
                <w:sz w:val="20"/>
              </w:rPr>
            </w:pPr>
          </w:p>
        </w:tc>
      </w:tr>
    </w:tbl>
    <w:p>
      <w:pPr>
        <w:ind w:firstLine="640" w:firstLineChars="200"/>
        <w:rPr>
          <w:rFonts w:hAnsi="楷体" w:eastAsia="楷体"/>
        </w:rPr>
      </w:pPr>
    </w:p>
    <w:p>
      <w:pPr>
        <w:rPr>
          <w:rFonts w:eastAsia="楷体"/>
        </w:rPr>
      </w:pPr>
      <w:r>
        <w:rPr>
          <w:rFonts w:hAnsi="楷体" w:eastAsia="楷体"/>
        </w:rPr>
        <w:br w:type="page"/>
      </w:r>
    </w:p>
    <w:tbl>
      <w:tblPr>
        <w:tblStyle w:val="12"/>
        <w:tblW w:w="10405" w:type="dxa"/>
        <w:jc w:val="center"/>
        <w:tblInd w:w="0" w:type="dxa"/>
        <w:tblLayout w:type="fixed"/>
        <w:tblCellMar>
          <w:top w:w="0" w:type="dxa"/>
          <w:left w:w="108" w:type="dxa"/>
          <w:bottom w:w="0" w:type="dxa"/>
          <w:right w:w="108" w:type="dxa"/>
        </w:tblCellMar>
      </w:tblPr>
      <w:tblGrid>
        <w:gridCol w:w="10405"/>
      </w:tblGrid>
      <w:tr>
        <w:tblPrEx>
          <w:tblLayout w:type="fixed"/>
          <w:tblCellMar>
            <w:top w:w="0" w:type="dxa"/>
            <w:left w:w="108" w:type="dxa"/>
            <w:bottom w:w="0" w:type="dxa"/>
            <w:right w:w="108" w:type="dxa"/>
          </w:tblCellMar>
        </w:tblPrEx>
        <w:trPr>
          <w:trHeight w:val="4452" w:hRule="atLeast"/>
          <w:jc w:val="center"/>
        </w:trPr>
        <w:tc>
          <w:tcPr>
            <w:tcW w:w="10405" w:type="dxa"/>
            <w:tcBorders>
              <w:top w:val="nil"/>
              <w:left w:val="nil"/>
              <w:bottom w:val="nil"/>
              <w:right w:val="nil"/>
            </w:tcBorders>
            <w:vAlign w:val="bottom"/>
          </w:tcPr>
          <w:p>
            <w:pPr>
              <w:widowControl/>
              <w:rPr>
                <w:rFonts w:eastAsia="方正小标宋简体"/>
                <w:kern w:val="0"/>
                <w:sz w:val="44"/>
                <w:szCs w:val="44"/>
              </w:rPr>
            </w:pPr>
          </w:p>
          <w:tbl>
            <w:tblPr>
              <w:tblStyle w:val="12"/>
              <w:tblW w:w="8789" w:type="dxa"/>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Layout w:type="fixed"/>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pPr>
                    <w:widowControl/>
                    <w:jc w:val="center"/>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kern w:val="0"/>
                      <w:sz w:val="44"/>
                      <w:szCs w:val="44"/>
                    </w:rPr>
                    <w:t>一般公共预算支出表</w:t>
                  </w: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Layout w:type="fixed"/>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472"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297.52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297.52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164.50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133.02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政府办公厅及相关事务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297.52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297.52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164.50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133.02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297.52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297.52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164.50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133.02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47.13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47.13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47.13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民政管理事务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75"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基层政权和社区治理</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42.97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42.97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42.97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28.65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28.65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28.65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0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5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r>
                    <w:rPr>
                      <w:rFonts w:hint="eastAsia" w:ascii="宋体" w:hAnsi="宋体" w:eastAsia="宋体" w:cs="宋体"/>
                      <w:color w:val="000000"/>
                      <w:kern w:val="0"/>
                      <w:sz w:val="20"/>
                      <w:szCs w:val="20"/>
                      <w:lang w:val="en-US" w:eastAsia="zh-CN"/>
                    </w:rPr>
                    <w:t>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r>
                    <w:rPr>
                      <w:rFonts w:hint="eastAsia" w:ascii="宋体" w:hAnsi="宋体" w:eastAsia="宋体" w:cs="宋体"/>
                      <w:color w:val="000000"/>
                      <w:kern w:val="0"/>
                      <w:sz w:val="20"/>
                      <w:szCs w:val="20"/>
                      <w:lang w:val="en-US" w:eastAsia="zh-CN"/>
                    </w:rPr>
                    <w:t>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r>
                    <w:rPr>
                      <w:rFonts w:hint="eastAsia" w:ascii="宋体" w:hAnsi="宋体" w:eastAsia="宋体" w:cs="宋体"/>
                      <w:color w:val="000000"/>
                      <w:kern w:val="0"/>
                      <w:sz w:val="20"/>
                      <w:szCs w:val="20"/>
                      <w:lang w:val="en-US" w:eastAsia="zh-CN"/>
                    </w:rPr>
                    <w:t>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63"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5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公务员医疗补助</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75"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五、住房保障支出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88"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425"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378.84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78.84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245.82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133.02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jc w:val="center"/>
        <w:rPr>
          <w:rFonts w:hint="eastAsia" w:asciiTheme="majorEastAsia" w:hAnsiTheme="majorEastAsia" w:eastAsiaTheme="majorEastAsia" w:cstheme="majorEastAsia"/>
          <w:color w:val="000000"/>
          <w:kern w:val="0"/>
          <w:sz w:val="44"/>
          <w:szCs w:val="44"/>
          <w:lang w:bidi="ar"/>
        </w:rPr>
      </w:pPr>
      <w:r>
        <w:rPr>
          <w:rFonts w:hint="eastAsia" w:asciiTheme="majorEastAsia" w:hAnsiTheme="majorEastAsia" w:eastAsiaTheme="majorEastAsia" w:cstheme="majorEastAsia"/>
          <w:color w:val="000000"/>
          <w:kern w:val="0"/>
          <w:sz w:val="44"/>
          <w:szCs w:val="44"/>
          <w:lang w:bidi="ar"/>
        </w:rPr>
        <w:t>本年一般公共预算支出明细表</w:t>
      </w:r>
    </w:p>
    <w:p>
      <w:pPr>
        <w:jc w:val="center"/>
        <w:rPr>
          <w:rFonts w:hint="eastAsia" w:asciiTheme="majorEastAsia" w:hAnsiTheme="majorEastAsia" w:eastAsiaTheme="majorEastAsia" w:cstheme="majorEastAsia"/>
          <w:color w:val="000000"/>
          <w:kern w:val="0"/>
          <w:sz w:val="44"/>
          <w:szCs w:val="44"/>
          <w:lang w:bidi="ar"/>
        </w:rPr>
      </w:pPr>
    </w:p>
    <w:tbl>
      <w:tblPr>
        <w:tblStyle w:val="12"/>
        <w:tblW w:w="9776" w:type="dxa"/>
        <w:tblInd w:w="0" w:type="dxa"/>
        <w:tblLayout w:type="fixed"/>
        <w:tblCellMar>
          <w:top w:w="0" w:type="dxa"/>
          <w:left w:w="0" w:type="dxa"/>
          <w:bottom w:w="0" w:type="dxa"/>
          <w:right w:w="0" w:type="dxa"/>
        </w:tblCellMar>
      </w:tblPr>
      <w:tblGrid>
        <w:gridCol w:w="1125"/>
        <w:gridCol w:w="1200"/>
        <w:gridCol w:w="1062"/>
        <w:gridCol w:w="1207"/>
        <w:gridCol w:w="1153"/>
        <w:gridCol w:w="1047"/>
        <w:gridCol w:w="994"/>
        <w:gridCol w:w="994"/>
        <w:gridCol w:w="994"/>
      </w:tblGrid>
      <w:tr>
        <w:tblPrEx>
          <w:tblLayout w:type="fixed"/>
          <w:tblCellMar>
            <w:top w:w="0" w:type="dxa"/>
            <w:left w:w="0" w:type="dxa"/>
            <w:bottom w:w="0" w:type="dxa"/>
            <w:right w:w="0" w:type="dxa"/>
          </w:tblCellMar>
        </w:tblPrEx>
        <w:trPr>
          <w:trHeight w:val="660" w:hRule="atLeast"/>
        </w:trPr>
        <w:tc>
          <w:tcPr>
            <w:tcW w:w="9776"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方正小标宋简体" w:hAnsi="方正小标宋简体" w:eastAsia="方正小标宋简体" w:cs="方正小标宋简体"/>
                <w:color w:val="000000"/>
                <w:sz w:val="44"/>
                <w:szCs w:val="44"/>
              </w:rPr>
            </w:pPr>
            <w:r>
              <w:rPr>
                <w:rFonts w:hint="eastAsia" w:ascii="宋体" w:hAnsi="宋体" w:eastAsia="宋体" w:cs="宋体"/>
                <w:color w:val="000000"/>
                <w:kern w:val="0"/>
                <w:sz w:val="24"/>
                <w:szCs w:val="24"/>
                <w:lang w:bidi="ar"/>
              </w:rPr>
              <w:t>单位：万元</w:t>
            </w:r>
          </w:p>
        </w:tc>
      </w:tr>
      <w:tr>
        <w:tblPrEx>
          <w:tblLayout w:type="fixed"/>
          <w:tblCellMar>
            <w:top w:w="0" w:type="dxa"/>
            <w:left w:w="0" w:type="dxa"/>
            <w:bottom w:w="0" w:type="dxa"/>
            <w:right w:w="0" w:type="dxa"/>
          </w:tblCellMar>
        </w:tblPrEx>
        <w:trPr>
          <w:trHeight w:val="354" w:hRule="atLeast"/>
        </w:trPr>
        <w:tc>
          <w:tcPr>
            <w:tcW w:w="11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序号</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科目编码</w:t>
            </w:r>
          </w:p>
        </w:tc>
        <w:tc>
          <w:tcPr>
            <w:tcW w:w="10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单位代码</w:t>
            </w:r>
          </w:p>
        </w:tc>
        <w:tc>
          <w:tcPr>
            <w:tcW w:w="12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单位名称</w:t>
            </w:r>
          </w:p>
        </w:tc>
        <w:tc>
          <w:tcPr>
            <w:tcW w:w="518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一般公共预算财政拨款</w:t>
            </w:r>
          </w:p>
        </w:tc>
      </w:tr>
      <w:tr>
        <w:tblPrEx>
          <w:tblLayout w:type="fixed"/>
          <w:tblCellMar>
            <w:top w:w="0" w:type="dxa"/>
            <w:left w:w="0" w:type="dxa"/>
            <w:bottom w:w="0" w:type="dxa"/>
            <w:right w:w="0" w:type="dxa"/>
          </w:tblCellMar>
        </w:tblPrEx>
        <w:trPr>
          <w:trHeight w:val="354" w:hRule="atLeast"/>
        </w:trPr>
        <w:tc>
          <w:tcPr>
            <w:tcW w:w="11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Verdana" w:hAnsi="Verdana" w:eastAsia="宋体" w:cs="Verdana"/>
                <w:b/>
                <w:color w:val="000000"/>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Verdana" w:hAnsi="Verdana" w:eastAsia="宋体" w:cs="Verdana"/>
                <w:b/>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Verdana" w:hAnsi="Verdana" w:eastAsia="宋体" w:cs="Verdana"/>
                <w:b/>
                <w:color w:val="000000"/>
                <w:sz w:val="24"/>
                <w:szCs w:val="24"/>
              </w:rPr>
            </w:pPr>
          </w:p>
        </w:tc>
        <w:tc>
          <w:tcPr>
            <w:tcW w:w="1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sz w:val="24"/>
                <w:szCs w:val="24"/>
              </w:rPr>
            </w:pPr>
          </w:p>
        </w:tc>
        <w:tc>
          <w:tcPr>
            <w:tcW w:w="11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总计</w:t>
            </w:r>
          </w:p>
        </w:tc>
        <w:tc>
          <w:tcPr>
            <w:tcW w:w="30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基本支出</w:t>
            </w:r>
          </w:p>
        </w:tc>
        <w:tc>
          <w:tcPr>
            <w:tcW w:w="9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项目支出</w:t>
            </w:r>
          </w:p>
        </w:tc>
      </w:tr>
      <w:tr>
        <w:tblPrEx>
          <w:tblLayout w:type="fixed"/>
          <w:tblCellMar>
            <w:top w:w="0" w:type="dxa"/>
            <w:left w:w="0" w:type="dxa"/>
            <w:bottom w:w="0" w:type="dxa"/>
            <w:right w:w="0" w:type="dxa"/>
          </w:tblCellMar>
        </w:tblPrEx>
        <w:trPr>
          <w:trHeight w:val="300" w:hRule="atLeast"/>
        </w:trPr>
        <w:tc>
          <w:tcPr>
            <w:tcW w:w="11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Verdana" w:hAnsi="Verdana" w:eastAsia="宋体" w:cs="Verdana"/>
                <w:b/>
                <w:color w:val="000000"/>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Verdana" w:hAnsi="Verdana" w:eastAsia="宋体" w:cs="Verdana"/>
                <w:b/>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Verdana" w:hAnsi="Verdana" w:eastAsia="宋体" w:cs="Verdana"/>
                <w:b/>
                <w:color w:val="000000"/>
                <w:sz w:val="24"/>
                <w:szCs w:val="24"/>
              </w:rPr>
            </w:pPr>
          </w:p>
        </w:tc>
        <w:tc>
          <w:tcPr>
            <w:tcW w:w="1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sz w:val="24"/>
                <w:szCs w:val="24"/>
              </w:rPr>
            </w:pPr>
          </w:p>
        </w:tc>
        <w:tc>
          <w:tcPr>
            <w:tcW w:w="11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Verdana" w:hAnsi="Verdana" w:eastAsia="宋体" w:cs="Verdana"/>
                <w:b/>
                <w:color w:val="000000"/>
                <w:sz w:val="24"/>
                <w:szCs w:val="24"/>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合计</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人员经费</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公用经费</w:t>
            </w:r>
          </w:p>
        </w:tc>
        <w:tc>
          <w:tcPr>
            <w:tcW w:w="9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Verdana" w:hAnsi="Verdana" w:eastAsia="宋体" w:cs="Verdana"/>
                <w:b/>
                <w:color w:val="000000"/>
                <w:sz w:val="24"/>
                <w:szCs w:val="24"/>
              </w:rPr>
            </w:pPr>
          </w:p>
        </w:tc>
      </w:tr>
      <w:tr>
        <w:tblPrEx>
          <w:tblLayout w:type="fixed"/>
          <w:tblCellMar>
            <w:top w:w="0" w:type="dxa"/>
            <w:left w:w="0" w:type="dxa"/>
            <w:bottom w:w="0" w:type="dxa"/>
            <w:right w:w="0" w:type="dxa"/>
          </w:tblCellMar>
        </w:tblPrEx>
        <w:trPr>
          <w:trHeight w:val="850" w:hRule="atLeast"/>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1</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b/>
                <w:bCs/>
                <w:color w:val="000000"/>
                <w:kern w:val="0"/>
                <w:sz w:val="20"/>
                <w:szCs w:val="20"/>
              </w:rPr>
              <w:t>合计</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378.84</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378.84</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245.82</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133.02</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698" w:hRule="atLeast"/>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2</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420</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梨树县刘家馆镇</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378.84</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378.84</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245.82</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133.02</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00" w:hRule="atLeast"/>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3</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420010</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梨树县刘家馆子镇人民政府</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378.84</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378.84</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245.82</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133.02</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01" w:hRule="atLeast"/>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Verdana"/>
                <w:color w:val="000000"/>
                <w:sz w:val="21"/>
                <w:szCs w:val="21"/>
                <w:lang w:eastAsia="zh-CN"/>
              </w:rPr>
            </w:pPr>
            <w:r>
              <w:rPr>
                <w:rFonts w:hint="eastAsia" w:ascii="宋体" w:hAnsi="宋体" w:eastAsia="宋体" w:cs="宋体"/>
                <w:kern w:val="0"/>
                <w:sz w:val="24"/>
                <w:szCs w:val="24"/>
              </w:rPr>
              <w:t>4</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2010301</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420010</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行政运行</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297.52</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297.52</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kern w:val="0"/>
                <w:sz w:val="20"/>
                <w:szCs w:val="20"/>
                <w:lang w:val="en-US" w:eastAsia="zh-CN"/>
              </w:rPr>
              <w:t>164.50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133.02</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00" w:hRule="atLeast"/>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5</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2080208</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420010</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sz w:val="20"/>
                <w:szCs w:val="20"/>
              </w:rPr>
              <w:t>基层政权建设和社区治理</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2.55</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2.55</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kern w:val="0"/>
                <w:sz w:val="20"/>
                <w:szCs w:val="20"/>
                <w:lang w:val="en-US" w:eastAsia="zh-CN"/>
              </w:rPr>
              <w:t>2.55</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00" w:hRule="atLeast"/>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6</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2080505</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420010</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sz w:val="20"/>
                <w:szCs w:val="20"/>
              </w:rPr>
              <w:t>机关事业单位基本养老保险缴费支出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28.65</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28.65</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kern w:val="0"/>
                <w:sz w:val="20"/>
                <w:szCs w:val="20"/>
                <w:lang w:val="en-US" w:eastAsia="zh-CN"/>
              </w:rPr>
              <w:t>28.65</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00" w:hRule="atLeast"/>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7</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2080506</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420010</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sz w:val="20"/>
                <w:szCs w:val="20"/>
              </w:rPr>
              <w:t>机关事业单位职业年金缴费支出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14.32</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14.32</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kern w:val="0"/>
                <w:sz w:val="20"/>
                <w:szCs w:val="20"/>
              </w:rPr>
              <w:t>14.</w:t>
            </w:r>
            <w:r>
              <w:rPr>
                <w:rFonts w:hint="eastAsia" w:ascii="宋体" w:hAnsi="宋体" w:eastAsia="宋体" w:cs="宋体"/>
                <w:kern w:val="0"/>
                <w:sz w:val="20"/>
                <w:szCs w:val="20"/>
                <w:lang w:val="en-US" w:eastAsia="zh-CN"/>
              </w:rPr>
              <w:t>32</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760" w:hRule="atLeast"/>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8</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2089999</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420010</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sz w:val="20"/>
                <w:szCs w:val="20"/>
              </w:rPr>
              <w:t>其他社会保障和就业支出</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1.61</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1.61</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kern w:val="0"/>
                <w:sz w:val="20"/>
                <w:szCs w:val="20"/>
                <w:lang w:val="en-US" w:eastAsia="zh-CN"/>
              </w:rPr>
              <w:t>1.61</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748" w:hRule="atLeast"/>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9</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2101101</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420010</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sz w:val="20"/>
                <w:szCs w:val="20"/>
              </w:rPr>
              <w:t>行政单位医疗</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11.46</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11.46</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kern w:val="0"/>
                <w:sz w:val="20"/>
                <w:szCs w:val="20"/>
                <w:lang w:val="en-US" w:eastAsia="zh-CN"/>
              </w:rPr>
              <w:t>11.46</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39" w:hRule="atLeast"/>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10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2101103</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420010</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sz w:val="20"/>
                <w:szCs w:val="20"/>
              </w:rPr>
              <w:t>公务员医疗补助</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1.2</w:t>
            </w:r>
            <w:r>
              <w:rPr>
                <w:rFonts w:hint="eastAsia" w:ascii="宋体" w:hAnsi="宋体" w:eastAsia="宋体" w:cs="宋体"/>
                <w:kern w:val="0"/>
                <w:sz w:val="20"/>
                <w:szCs w:val="20"/>
                <w:lang w:val="en-US" w:eastAsia="zh-CN"/>
              </w:rPr>
              <w:t>5</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1.2</w:t>
            </w:r>
            <w:r>
              <w:rPr>
                <w:rFonts w:hint="eastAsia" w:ascii="宋体" w:hAnsi="宋体" w:eastAsia="宋体" w:cs="宋体"/>
                <w:kern w:val="0"/>
                <w:sz w:val="20"/>
                <w:szCs w:val="20"/>
                <w:lang w:val="en-US" w:eastAsia="zh-CN"/>
              </w:rPr>
              <w:t>5</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kern w:val="0"/>
                <w:sz w:val="20"/>
                <w:szCs w:val="20"/>
              </w:rPr>
              <w:t>1.2</w:t>
            </w:r>
            <w:r>
              <w:rPr>
                <w:rFonts w:hint="eastAsia" w:ascii="宋体" w:hAnsi="宋体" w:eastAsia="宋体" w:cs="宋体"/>
                <w:kern w:val="0"/>
                <w:sz w:val="20"/>
                <w:szCs w:val="20"/>
                <w:lang w:val="en-US" w:eastAsia="zh-CN"/>
              </w:rPr>
              <w:t>5</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839" w:hRule="atLeast"/>
        </w:trPr>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rPr>
              <w:t>2210201</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420010</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0"/>
                <w:szCs w:val="20"/>
              </w:rPr>
            </w:pPr>
            <w:r>
              <w:rPr>
                <w:rFonts w:hint="eastAsia" w:ascii="宋体" w:hAnsi="宋体" w:eastAsia="宋体" w:cs="宋体"/>
                <w:sz w:val="20"/>
                <w:szCs w:val="20"/>
              </w:rPr>
              <w:t>住房公积金</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kern w:val="0"/>
                <w:sz w:val="20"/>
                <w:szCs w:val="20"/>
              </w:rPr>
              <w:t>21.</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8</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kern w:val="0"/>
                <w:sz w:val="20"/>
                <w:szCs w:val="20"/>
              </w:rPr>
              <w:t>21.</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8</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kern w:val="0"/>
                <w:sz w:val="20"/>
                <w:szCs w:val="20"/>
              </w:rPr>
              <w:t>21.</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8</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rPr>
            </w:pPr>
          </w:p>
        </w:tc>
      </w:tr>
    </w:tbl>
    <w:p>
      <w:pPr>
        <w:ind w:firstLine="640" w:firstLineChars="200"/>
        <w:rPr>
          <w:rFonts w:eastAsia="楷体"/>
        </w:rPr>
      </w:pPr>
    </w:p>
    <w:p>
      <w:pPr>
        <w:ind w:firstLine="640" w:firstLineChars="200"/>
        <w:rPr>
          <w:rFonts w:eastAsia="楷体"/>
        </w:rPr>
      </w:pPr>
    </w:p>
    <w:tbl>
      <w:tblPr>
        <w:tblStyle w:val="12"/>
        <w:tblW w:w="8931" w:type="dxa"/>
        <w:jc w:val="center"/>
        <w:tblInd w:w="0" w:type="dxa"/>
        <w:tblLayout w:type="fixed"/>
        <w:tblCellMar>
          <w:top w:w="0" w:type="dxa"/>
          <w:left w:w="108" w:type="dxa"/>
          <w:bottom w:w="0" w:type="dxa"/>
          <w:right w:w="108" w:type="dxa"/>
        </w:tblCellMar>
      </w:tblPr>
      <w:tblGrid>
        <w:gridCol w:w="3176"/>
        <w:gridCol w:w="2220"/>
        <w:gridCol w:w="1704"/>
        <w:gridCol w:w="1831"/>
      </w:tblGrid>
      <w:tr>
        <w:tblPrEx>
          <w:tblLayout w:type="fixed"/>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hint="eastAsia" w:asciiTheme="majorEastAsia" w:hAnsiTheme="majorEastAsia" w:eastAsiaTheme="majorEastAsia" w:cstheme="majorEastAsia"/>
                <w:kern w:val="0"/>
                <w:sz w:val="44"/>
                <w:szCs w:val="44"/>
              </w:rPr>
              <w:t>一般公共预算基本支出表</w:t>
            </w:r>
          </w:p>
        </w:tc>
      </w:tr>
      <w:tr>
        <w:tblPrEx>
          <w:tblLayout w:type="fixed"/>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Layout w:type="fixed"/>
          <w:tblCellMar>
            <w:top w:w="0" w:type="dxa"/>
            <w:left w:w="108" w:type="dxa"/>
            <w:bottom w:w="0" w:type="dxa"/>
            <w:right w:w="108" w:type="dxa"/>
          </w:tblCellMar>
        </w:tblPrEx>
        <w:trPr>
          <w:trHeight w:val="525" w:hRule="atLeast"/>
          <w:jc w:val="center"/>
        </w:trPr>
        <w:tc>
          <w:tcPr>
            <w:tcW w:w="3176" w:type="dxa"/>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经济分类科目</w:t>
            </w:r>
          </w:p>
        </w:tc>
        <w:tc>
          <w:tcPr>
            <w:tcW w:w="2220" w:type="dxa"/>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rPr>
              <w:t>合计</w:t>
            </w:r>
          </w:p>
        </w:tc>
        <w:tc>
          <w:tcPr>
            <w:tcW w:w="1704" w:type="dxa"/>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公用经费</w:t>
            </w:r>
          </w:p>
        </w:tc>
      </w:tr>
      <w:tr>
        <w:tblPrEx>
          <w:tblLayout w:type="fixed"/>
          <w:tblCellMar>
            <w:top w:w="0" w:type="dxa"/>
            <w:left w:w="108" w:type="dxa"/>
            <w:bottom w:w="0" w:type="dxa"/>
            <w:right w:w="108" w:type="dxa"/>
          </w:tblCellMar>
        </w:tblPrEx>
        <w:trPr>
          <w:trHeight w:val="416"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245.82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245.82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p>
        </w:tc>
      </w:tr>
      <w:tr>
        <w:tblPrEx>
          <w:tblLayout w:type="fixed"/>
          <w:tblCellMar>
            <w:top w:w="0" w:type="dxa"/>
            <w:left w:w="108" w:type="dxa"/>
            <w:bottom w:w="0" w:type="dxa"/>
            <w:right w:w="108" w:type="dxa"/>
          </w:tblCellMar>
        </w:tblPrEx>
        <w:trPr>
          <w:trHeight w:val="46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bidi="ar"/>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77.20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77.20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p>
        </w:tc>
      </w:tr>
      <w:tr>
        <w:tblPrEx>
          <w:tblLayout w:type="fixed"/>
          <w:tblCellMar>
            <w:top w:w="0" w:type="dxa"/>
            <w:left w:w="108" w:type="dxa"/>
            <w:bottom w:w="0" w:type="dxa"/>
            <w:right w:w="108" w:type="dxa"/>
          </w:tblCellMar>
        </w:tblPrEx>
        <w:trPr>
          <w:trHeight w:val="45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bidi="ar"/>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81.34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81.34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p>
        </w:tc>
      </w:tr>
      <w:tr>
        <w:tblPrEx>
          <w:tblLayout w:type="fixed"/>
          <w:tblCellMar>
            <w:top w:w="0" w:type="dxa"/>
            <w:left w:w="108" w:type="dxa"/>
            <w:bottom w:w="0" w:type="dxa"/>
            <w:right w:w="108" w:type="dxa"/>
          </w:tblCellMar>
        </w:tblPrEx>
        <w:trPr>
          <w:trHeight w:val="3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bidi="ar"/>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5.96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5.96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p>
        </w:tc>
      </w:tr>
      <w:tr>
        <w:tblPrEx>
          <w:tblLayout w:type="fixed"/>
          <w:tblCellMar>
            <w:top w:w="0" w:type="dxa"/>
            <w:left w:w="108" w:type="dxa"/>
            <w:bottom w:w="0" w:type="dxa"/>
            <w:right w:w="108" w:type="dxa"/>
          </w:tblCellMar>
        </w:tblPrEx>
        <w:trPr>
          <w:trHeight w:val="50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28.65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28.65</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p>
        </w:tc>
      </w:tr>
      <w:tr>
        <w:tblPrEx>
          <w:tblLayout w:type="fixed"/>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职业年金缴费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14.32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14.32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p>
        </w:tc>
      </w:tr>
      <w:tr>
        <w:tblPrEx>
          <w:tblLayout w:type="fixed"/>
          <w:tblCellMar>
            <w:top w:w="0" w:type="dxa"/>
            <w:left w:w="108" w:type="dxa"/>
            <w:bottom w:w="0" w:type="dxa"/>
            <w:right w:w="108" w:type="dxa"/>
          </w:tblCellMar>
        </w:tblPrEx>
        <w:trPr>
          <w:trHeight w:val="45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11.46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11.46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p>
        </w:tc>
      </w:tr>
      <w:tr>
        <w:tblPrEx>
          <w:tblLayout w:type="fixed"/>
          <w:tblCellMar>
            <w:top w:w="0" w:type="dxa"/>
            <w:left w:w="108" w:type="dxa"/>
            <w:bottom w:w="0" w:type="dxa"/>
            <w:right w:w="108" w:type="dxa"/>
          </w:tblCellMar>
        </w:tblPrEx>
        <w:trPr>
          <w:trHeight w:val="36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1.25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1.25</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p>
        </w:tc>
      </w:tr>
      <w:tr>
        <w:tblPrEx>
          <w:tblLayout w:type="fixed"/>
          <w:tblCellMar>
            <w:top w:w="0" w:type="dxa"/>
            <w:left w:w="108" w:type="dxa"/>
            <w:bottom w:w="0" w:type="dxa"/>
            <w:right w:w="108" w:type="dxa"/>
          </w:tblCellMar>
        </w:tblPrEx>
        <w:trPr>
          <w:trHeight w:val="465"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其他社会保障缴费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1.61</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1.61</w:t>
            </w:r>
          </w:p>
        </w:tc>
        <w:tc>
          <w:tcPr>
            <w:tcW w:w="1831"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sz w:val="20"/>
                <w:szCs w:val="20"/>
              </w:rPr>
            </w:pPr>
          </w:p>
        </w:tc>
      </w:tr>
      <w:tr>
        <w:tblPrEx>
          <w:tblLayout w:type="fixed"/>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bidi="ar"/>
              </w:rPr>
              <w:t>住房公积金</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21.48</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21.48</w:t>
            </w:r>
          </w:p>
        </w:tc>
        <w:tc>
          <w:tcPr>
            <w:tcW w:w="1831"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sz w:val="20"/>
                <w:szCs w:val="20"/>
              </w:rPr>
            </w:pPr>
          </w:p>
        </w:tc>
      </w:tr>
      <w:tr>
        <w:tblPrEx>
          <w:tblLayout w:type="fixed"/>
          <w:tblCellMar>
            <w:top w:w="0" w:type="dxa"/>
            <w:left w:w="108" w:type="dxa"/>
            <w:bottom w:w="0" w:type="dxa"/>
            <w:right w:w="108" w:type="dxa"/>
          </w:tblCellMar>
        </w:tblPrEx>
        <w:trPr>
          <w:trHeight w:val="44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bidi="ar"/>
              </w:rPr>
              <w:t>其他工资福利支出</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2.55</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2.55</w:t>
            </w:r>
          </w:p>
        </w:tc>
        <w:tc>
          <w:tcPr>
            <w:tcW w:w="1831"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sz w:val="20"/>
                <w:szCs w:val="20"/>
              </w:rPr>
            </w:pPr>
          </w:p>
        </w:tc>
      </w:tr>
      <w:tr>
        <w:tblPrEx>
          <w:tblLayout w:type="fixed"/>
          <w:tblCellMar>
            <w:top w:w="0" w:type="dxa"/>
            <w:left w:w="108" w:type="dxa"/>
            <w:bottom w:w="0" w:type="dxa"/>
            <w:right w:w="108" w:type="dxa"/>
          </w:tblCellMar>
        </w:tblPrEx>
        <w:trPr>
          <w:trHeight w:val="44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bidi="ar"/>
              </w:rPr>
              <w:t>二、商品和服务支出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133.02</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133.02</w:t>
            </w:r>
          </w:p>
        </w:tc>
      </w:tr>
      <w:tr>
        <w:tblPrEx>
          <w:tblLayout w:type="fixed"/>
          <w:tblCellMar>
            <w:top w:w="0" w:type="dxa"/>
            <w:left w:w="108" w:type="dxa"/>
            <w:bottom w:w="0" w:type="dxa"/>
            <w:right w:w="108" w:type="dxa"/>
          </w:tblCellMar>
        </w:tblPrEx>
        <w:trPr>
          <w:trHeight w:val="465"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bidi="ar"/>
              </w:rPr>
              <w:t>办公费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20.00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20.00</w:t>
            </w:r>
          </w:p>
        </w:tc>
      </w:tr>
      <w:tr>
        <w:tblPrEx>
          <w:tblLayout w:type="fixed"/>
          <w:tblCellMar>
            <w:top w:w="0" w:type="dxa"/>
            <w:left w:w="108" w:type="dxa"/>
            <w:bottom w:w="0" w:type="dxa"/>
            <w:right w:w="108" w:type="dxa"/>
          </w:tblCellMar>
        </w:tblPrEx>
        <w:trPr>
          <w:trHeight w:val="39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电费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9.00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9.00</w:t>
            </w:r>
          </w:p>
        </w:tc>
      </w:tr>
      <w:tr>
        <w:tblPrEx>
          <w:tblLayout w:type="fixed"/>
          <w:tblCellMar>
            <w:top w:w="0" w:type="dxa"/>
            <w:left w:w="108" w:type="dxa"/>
            <w:bottom w:w="0" w:type="dxa"/>
            <w:right w:w="108" w:type="dxa"/>
          </w:tblCellMar>
        </w:tblPrEx>
        <w:trPr>
          <w:trHeight w:val="365"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取暖费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25.00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25.00</w:t>
            </w:r>
          </w:p>
        </w:tc>
      </w:tr>
      <w:tr>
        <w:tblPrEx>
          <w:tblLayout w:type="fixed"/>
          <w:tblCellMar>
            <w:top w:w="0" w:type="dxa"/>
            <w:left w:w="108" w:type="dxa"/>
            <w:bottom w:w="0" w:type="dxa"/>
            <w:right w:w="108" w:type="dxa"/>
          </w:tblCellMar>
        </w:tblPrEx>
        <w:trPr>
          <w:trHeight w:val="44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差旅费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25.00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25.00</w:t>
            </w:r>
          </w:p>
        </w:tc>
      </w:tr>
      <w:tr>
        <w:tblPrEx>
          <w:tblLayout w:type="fixed"/>
          <w:tblCellMar>
            <w:top w:w="0" w:type="dxa"/>
            <w:left w:w="108" w:type="dxa"/>
            <w:bottom w:w="0" w:type="dxa"/>
            <w:right w:w="108" w:type="dxa"/>
          </w:tblCellMar>
        </w:tblPrEx>
        <w:trPr>
          <w:trHeight w:val="30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租赁费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5.00</w:t>
            </w:r>
          </w:p>
        </w:tc>
      </w:tr>
      <w:tr>
        <w:tblPrEx>
          <w:tblLayout w:type="fixed"/>
          <w:tblCellMar>
            <w:top w:w="0" w:type="dxa"/>
            <w:left w:w="108" w:type="dxa"/>
            <w:bottom w:w="0" w:type="dxa"/>
            <w:right w:w="108" w:type="dxa"/>
          </w:tblCellMar>
        </w:tblPrEx>
        <w:trPr>
          <w:trHeight w:val="365"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ind w:firstLine="200" w:firstLineChars="100"/>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培训费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0.20</w:t>
            </w:r>
          </w:p>
        </w:tc>
      </w:tr>
      <w:tr>
        <w:tblPrEx>
          <w:tblLayout w:type="fixed"/>
          <w:tblCellMar>
            <w:top w:w="0" w:type="dxa"/>
            <w:left w:w="108" w:type="dxa"/>
            <w:bottom w:w="0" w:type="dxa"/>
            <w:right w:w="108" w:type="dxa"/>
          </w:tblCellMar>
        </w:tblPrEx>
        <w:trPr>
          <w:trHeight w:val="353"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ind w:firstLine="200" w:firstLineChars="100"/>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劳务费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16.00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16.00</w:t>
            </w:r>
          </w:p>
        </w:tc>
      </w:tr>
      <w:tr>
        <w:tblPrEx>
          <w:tblLayout w:type="fixed"/>
          <w:tblCellMar>
            <w:top w:w="0" w:type="dxa"/>
            <w:left w:w="108" w:type="dxa"/>
            <w:bottom w:w="0" w:type="dxa"/>
            <w:right w:w="108" w:type="dxa"/>
          </w:tblCellMar>
        </w:tblPrEx>
        <w:trPr>
          <w:trHeight w:val="378"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ind w:firstLine="200" w:firstLineChars="100"/>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委托业务费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4.00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4.00</w:t>
            </w:r>
          </w:p>
        </w:tc>
      </w:tr>
      <w:tr>
        <w:tblPrEx>
          <w:tblLayout w:type="fixed"/>
          <w:tblCellMar>
            <w:top w:w="0" w:type="dxa"/>
            <w:left w:w="108" w:type="dxa"/>
            <w:bottom w:w="0" w:type="dxa"/>
            <w:right w:w="108" w:type="dxa"/>
          </w:tblCellMar>
        </w:tblPrEx>
        <w:trPr>
          <w:trHeight w:val="39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公务用车运行维护费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.00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.00</w:t>
            </w:r>
          </w:p>
        </w:tc>
      </w:tr>
      <w:tr>
        <w:tblPrEx>
          <w:tblLayout w:type="fixed"/>
          <w:tblCellMar>
            <w:top w:w="0" w:type="dxa"/>
            <w:left w:w="108" w:type="dxa"/>
            <w:bottom w:w="0" w:type="dxa"/>
            <w:right w:w="108" w:type="dxa"/>
          </w:tblCellMar>
        </w:tblPrEx>
        <w:trPr>
          <w:trHeight w:val="33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其他交通费用</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3.02</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3.02</w:t>
            </w:r>
          </w:p>
        </w:tc>
      </w:tr>
      <w:tr>
        <w:tblPrEx>
          <w:tblLayout w:type="fixed"/>
          <w:tblCellMar>
            <w:top w:w="0" w:type="dxa"/>
            <w:left w:w="108" w:type="dxa"/>
            <w:bottom w:w="0" w:type="dxa"/>
            <w:right w:w="108" w:type="dxa"/>
          </w:tblCellMar>
        </w:tblPrEx>
        <w:trPr>
          <w:trHeight w:val="43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12.80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12.80</w:t>
            </w:r>
          </w:p>
        </w:tc>
      </w:tr>
      <w:tr>
        <w:tblPrEx>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合计</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378.84</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245.82</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133.02</w:t>
            </w:r>
          </w:p>
        </w:tc>
      </w:tr>
    </w:tbl>
    <w:p>
      <w:pPr>
        <w:rPr>
          <w:rFonts w:eastAsia="楷体"/>
        </w:rPr>
      </w:pPr>
      <w:r>
        <w:rPr>
          <w:rFonts w:hAnsi="楷体" w:eastAsia="楷体"/>
        </w:rPr>
        <w:br w:type="page"/>
      </w:r>
    </w:p>
    <w:tbl>
      <w:tblPr>
        <w:tblStyle w:val="12"/>
        <w:tblW w:w="9114" w:type="dxa"/>
        <w:jc w:val="center"/>
        <w:tblInd w:w="0" w:type="dxa"/>
        <w:tblLayout w:type="fixed"/>
        <w:tblCellMar>
          <w:top w:w="0" w:type="dxa"/>
          <w:left w:w="108" w:type="dxa"/>
          <w:bottom w:w="0" w:type="dxa"/>
          <w:right w:w="108" w:type="dxa"/>
        </w:tblCellMar>
      </w:tblPr>
      <w:tblGrid>
        <w:gridCol w:w="4783"/>
        <w:gridCol w:w="1646"/>
        <w:gridCol w:w="1378"/>
        <w:gridCol w:w="1307"/>
      </w:tblGrid>
      <w:tr>
        <w:tblPrEx>
          <w:tblLayout w:type="fixed"/>
          <w:tblCellMar>
            <w:top w:w="0" w:type="dxa"/>
            <w:left w:w="108" w:type="dxa"/>
            <w:bottom w:w="0" w:type="dxa"/>
            <w:right w:w="108" w:type="dxa"/>
          </w:tblCellMar>
        </w:tblPrEx>
        <w:trPr>
          <w:trHeight w:val="1200" w:hRule="atLeast"/>
          <w:jc w:val="center"/>
        </w:trPr>
        <w:tc>
          <w:tcPr>
            <w:tcW w:w="9114" w:type="dxa"/>
            <w:gridSpan w:val="4"/>
            <w:tcBorders>
              <w:top w:val="nil"/>
              <w:left w:val="nil"/>
              <w:right w:val="nil"/>
            </w:tcBorders>
            <w:vAlign w:val="center"/>
          </w:tcPr>
          <w:p>
            <w:pPr>
              <w:widowControl/>
              <w:jc w:val="center"/>
              <w:rPr>
                <w:rFonts w:eastAsia="宋体"/>
                <w:color w:val="000000"/>
                <w:kern w:val="0"/>
                <w:sz w:val="44"/>
                <w:szCs w:val="44"/>
              </w:rPr>
            </w:pPr>
            <w:r>
              <w:rPr>
                <w:rFonts w:hint="eastAsia" w:ascii="宋体" w:hAnsi="宋体" w:eastAsia="宋体" w:cs="宋体"/>
                <w:color w:val="000000"/>
                <w:kern w:val="0"/>
                <w:sz w:val="44"/>
                <w:szCs w:val="44"/>
              </w:rPr>
              <w:t>一般公共预算“三公”经费支出表</w:t>
            </w:r>
          </w:p>
        </w:tc>
      </w:tr>
      <w:tr>
        <w:tblPrEx>
          <w:tblLayout w:type="fixed"/>
          <w:tblCellMar>
            <w:top w:w="0" w:type="dxa"/>
            <w:left w:w="108" w:type="dxa"/>
            <w:bottom w:w="0" w:type="dxa"/>
            <w:right w:w="108" w:type="dxa"/>
          </w:tblCellMar>
        </w:tblPrEx>
        <w:trPr>
          <w:trHeight w:val="424" w:hRule="atLeast"/>
          <w:jc w:val="center"/>
        </w:trPr>
        <w:tc>
          <w:tcPr>
            <w:tcW w:w="9114" w:type="dxa"/>
            <w:gridSpan w:val="4"/>
            <w:tcBorders>
              <w:bottom w:val="single" w:color="auto" w:sz="4" w:space="0"/>
            </w:tcBorders>
            <w:vAlign w:val="center"/>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Layout w:type="fixed"/>
          <w:tblCellMar>
            <w:top w:w="0" w:type="dxa"/>
            <w:left w:w="108" w:type="dxa"/>
            <w:bottom w:w="0" w:type="dxa"/>
            <w:right w:w="108" w:type="dxa"/>
          </w:tblCellMar>
        </w:tblPrEx>
        <w:trPr>
          <w:trHeight w:val="810" w:hRule="atLeast"/>
          <w:jc w:val="center"/>
        </w:trPr>
        <w:tc>
          <w:tcPr>
            <w:tcW w:w="478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1646" w:type="dxa"/>
            <w:tcBorders>
              <w:top w:val="single" w:color="auto" w:sz="4" w:space="0"/>
              <w:left w:val="nil"/>
              <w:bottom w:val="single" w:color="auto" w:sz="4" w:space="0"/>
              <w:right w:val="single" w:color="auto" w:sz="4" w:space="0"/>
            </w:tcBorders>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c>
          <w:tcPr>
            <w:tcW w:w="1378" w:type="dxa"/>
            <w:tcBorders>
              <w:top w:val="single" w:color="auto" w:sz="4" w:space="0"/>
              <w:left w:val="nil"/>
              <w:bottom w:val="single" w:color="auto" w:sz="4" w:space="0"/>
              <w:right w:val="single" w:color="auto" w:sz="4" w:space="0"/>
            </w:tcBorders>
            <w:vAlign w:val="center"/>
          </w:tcPr>
          <w:p>
            <w:pPr>
              <w:widowControl/>
              <w:jc w:val="center"/>
              <w:rPr>
                <w:rFonts w:eastAsia="华文细黑"/>
                <w:color w:val="000000"/>
                <w:kern w:val="0"/>
                <w:sz w:val="20"/>
              </w:rPr>
            </w:pPr>
            <w:r>
              <w:rPr>
                <w:rFonts w:hint="eastAsia" w:eastAsia="华文细黑"/>
                <w:color w:val="000000"/>
                <w:kern w:val="0"/>
                <w:sz w:val="20"/>
              </w:rPr>
              <w:t>当年预算</w:t>
            </w:r>
          </w:p>
        </w:tc>
        <w:tc>
          <w:tcPr>
            <w:tcW w:w="1307" w:type="dxa"/>
            <w:tcBorders>
              <w:top w:val="single" w:color="auto" w:sz="4" w:space="0"/>
              <w:left w:val="nil"/>
              <w:bottom w:val="single" w:color="auto" w:sz="4" w:space="0"/>
              <w:right w:val="single" w:color="auto" w:sz="4" w:space="0"/>
            </w:tcBorders>
            <w:vAlign w:val="center"/>
          </w:tcPr>
          <w:p>
            <w:pPr>
              <w:widowControl/>
              <w:jc w:val="center"/>
              <w:rPr>
                <w:rFonts w:eastAsia="华文细黑"/>
                <w:color w:val="000000"/>
                <w:kern w:val="0"/>
                <w:sz w:val="20"/>
              </w:rPr>
            </w:pPr>
            <w:r>
              <w:rPr>
                <w:rFonts w:hint="eastAsia" w:eastAsia="华文细黑"/>
                <w:color w:val="000000"/>
                <w:kern w:val="0"/>
                <w:sz w:val="20"/>
              </w:rPr>
              <w:t>上年结转</w:t>
            </w:r>
          </w:p>
        </w:tc>
      </w:tr>
      <w:tr>
        <w:tblPrEx>
          <w:tblLayout w:type="fixed"/>
          <w:tblCellMar>
            <w:top w:w="0" w:type="dxa"/>
            <w:left w:w="108" w:type="dxa"/>
            <w:bottom w:w="0" w:type="dxa"/>
            <w:right w:w="108" w:type="dxa"/>
          </w:tblCellMar>
        </w:tblPrEx>
        <w:trPr>
          <w:trHeight w:val="489" w:hRule="atLeast"/>
          <w:jc w:val="center"/>
        </w:trPr>
        <w:tc>
          <w:tcPr>
            <w:tcW w:w="4783"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合    计</w:t>
            </w:r>
          </w:p>
        </w:tc>
        <w:tc>
          <w:tcPr>
            <w:tcW w:w="1646"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vAlign w:val="center"/>
          </w:tcPr>
          <w:p>
            <w:pPr>
              <w:jc w:val="center"/>
              <w:rPr>
                <w:rFonts w:eastAsia="宋体"/>
                <w:color w:val="000000"/>
                <w:kern w:val="0"/>
                <w:sz w:val="20"/>
              </w:rPr>
            </w:pPr>
          </w:p>
        </w:tc>
      </w:tr>
      <w:tr>
        <w:tblPrEx>
          <w:tblLayout w:type="fixed"/>
          <w:tblCellMar>
            <w:top w:w="0" w:type="dxa"/>
            <w:left w:w="108" w:type="dxa"/>
            <w:bottom w:w="0" w:type="dxa"/>
            <w:right w:w="108" w:type="dxa"/>
          </w:tblCellMar>
        </w:tblPrEx>
        <w:trPr>
          <w:trHeight w:val="567" w:hRule="atLeast"/>
          <w:jc w:val="center"/>
        </w:trPr>
        <w:tc>
          <w:tcPr>
            <w:tcW w:w="4783"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1646"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vAlign w:val="center"/>
          </w:tcPr>
          <w:p>
            <w:pPr>
              <w:jc w:val="center"/>
              <w:rPr>
                <w:rFonts w:eastAsia="宋体"/>
                <w:color w:val="000000"/>
                <w:kern w:val="0"/>
                <w:sz w:val="20"/>
              </w:rPr>
            </w:pPr>
          </w:p>
        </w:tc>
      </w:tr>
      <w:tr>
        <w:tblPrEx>
          <w:tblLayout w:type="fixed"/>
          <w:tblCellMar>
            <w:top w:w="0" w:type="dxa"/>
            <w:left w:w="108" w:type="dxa"/>
            <w:bottom w:w="0" w:type="dxa"/>
            <w:right w:w="108" w:type="dxa"/>
          </w:tblCellMar>
        </w:tblPrEx>
        <w:trPr>
          <w:trHeight w:val="547" w:hRule="atLeast"/>
          <w:jc w:val="center"/>
        </w:trPr>
        <w:tc>
          <w:tcPr>
            <w:tcW w:w="4783"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1646"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vAlign w:val="center"/>
          </w:tcPr>
          <w:p>
            <w:pPr>
              <w:jc w:val="center"/>
              <w:rPr>
                <w:rFonts w:eastAsia="宋体"/>
                <w:color w:val="000000"/>
                <w:kern w:val="0"/>
                <w:sz w:val="20"/>
              </w:rPr>
            </w:pPr>
          </w:p>
        </w:tc>
      </w:tr>
      <w:tr>
        <w:tblPrEx>
          <w:tblLayout w:type="fixed"/>
          <w:tblCellMar>
            <w:top w:w="0" w:type="dxa"/>
            <w:left w:w="108" w:type="dxa"/>
            <w:bottom w:w="0" w:type="dxa"/>
            <w:right w:w="108" w:type="dxa"/>
          </w:tblCellMar>
        </w:tblPrEx>
        <w:trPr>
          <w:trHeight w:val="555" w:hRule="atLeast"/>
          <w:jc w:val="center"/>
        </w:trPr>
        <w:tc>
          <w:tcPr>
            <w:tcW w:w="4783"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1646"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vAlign w:val="center"/>
          </w:tcPr>
          <w:p>
            <w:pPr>
              <w:jc w:val="center"/>
              <w:rPr>
                <w:rFonts w:eastAsia="宋体"/>
                <w:color w:val="000000"/>
                <w:kern w:val="0"/>
                <w:sz w:val="20"/>
              </w:rPr>
            </w:pPr>
          </w:p>
        </w:tc>
      </w:tr>
      <w:tr>
        <w:tblPrEx>
          <w:tblLayout w:type="fixed"/>
          <w:tblCellMar>
            <w:top w:w="0" w:type="dxa"/>
            <w:left w:w="108" w:type="dxa"/>
            <w:bottom w:w="0" w:type="dxa"/>
            <w:right w:w="108" w:type="dxa"/>
          </w:tblCellMar>
        </w:tblPrEx>
        <w:trPr>
          <w:trHeight w:val="577" w:hRule="atLeast"/>
          <w:jc w:val="center"/>
        </w:trPr>
        <w:tc>
          <w:tcPr>
            <w:tcW w:w="4783"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16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w:t>
            </w:r>
          </w:p>
        </w:tc>
        <w:tc>
          <w:tcPr>
            <w:tcW w:w="137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　</w:t>
            </w:r>
          </w:p>
        </w:tc>
        <w:tc>
          <w:tcPr>
            <w:tcW w:w="1307" w:type="dxa"/>
            <w:tcBorders>
              <w:top w:val="nil"/>
              <w:left w:val="nil"/>
              <w:bottom w:val="single" w:color="auto" w:sz="4" w:space="0"/>
              <w:right w:val="single" w:color="auto" w:sz="4" w:space="0"/>
            </w:tcBorders>
            <w:vAlign w:val="center"/>
          </w:tcPr>
          <w:p>
            <w:pPr>
              <w:jc w:val="center"/>
              <w:rPr>
                <w:rFonts w:eastAsia="宋体"/>
                <w:color w:val="000000"/>
                <w:kern w:val="0"/>
                <w:sz w:val="20"/>
              </w:rPr>
            </w:pPr>
          </w:p>
        </w:tc>
      </w:tr>
      <w:tr>
        <w:tblPrEx>
          <w:tblLayout w:type="fixed"/>
          <w:tblCellMar>
            <w:top w:w="0" w:type="dxa"/>
            <w:left w:w="108" w:type="dxa"/>
            <w:bottom w:w="0" w:type="dxa"/>
            <w:right w:w="108" w:type="dxa"/>
          </w:tblCellMar>
        </w:tblPrEx>
        <w:trPr>
          <w:trHeight w:val="557" w:hRule="atLeast"/>
          <w:jc w:val="center"/>
        </w:trPr>
        <w:tc>
          <w:tcPr>
            <w:tcW w:w="4783" w:type="dxa"/>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16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w:t>
            </w:r>
          </w:p>
        </w:tc>
        <w:tc>
          <w:tcPr>
            <w:tcW w:w="137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w:t>
            </w:r>
          </w:p>
        </w:tc>
        <w:tc>
          <w:tcPr>
            <w:tcW w:w="1307" w:type="dxa"/>
            <w:tcBorders>
              <w:top w:val="nil"/>
              <w:left w:val="nil"/>
              <w:bottom w:val="single" w:color="auto" w:sz="4" w:space="0"/>
              <w:right w:val="single" w:color="auto" w:sz="4" w:space="0"/>
            </w:tcBorders>
            <w:vAlign w:val="center"/>
          </w:tcPr>
          <w:p>
            <w:pPr>
              <w:jc w:val="center"/>
              <w:rPr>
                <w:rFonts w:eastAsia="宋体"/>
                <w:color w:val="000000"/>
                <w:kern w:val="0"/>
                <w:sz w:val="20"/>
              </w:rPr>
            </w:pPr>
          </w:p>
        </w:tc>
      </w:tr>
      <w:tr>
        <w:tblPrEx>
          <w:tblLayout w:type="fixed"/>
          <w:tblCellMar>
            <w:top w:w="0" w:type="dxa"/>
            <w:left w:w="108" w:type="dxa"/>
            <w:bottom w:w="0" w:type="dxa"/>
            <w:right w:w="108" w:type="dxa"/>
          </w:tblCellMar>
        </w:tblPrEx>
        <w:trPr>
          <w:trHeight w:val="1275" w:hRule="atLeast"/>
          <w:jc w:val="center"/>
        </w:trPr>
        <w:tc>
          <w:tcPr>
            <w:tcW w:w="9114" w:type="dxa"/>
            <w:gridSpan w:val="4"/>
            <w:tcBorders>
              <w:top w:val="single" w:color="auto" w:sz="4" w:space="0"/>
              <w:left w:val="nil"/>
              <w:bottom w:val="nil"/>
              <w:right w:val="nil"/>
            </w:tcBorders>
            <w:vAlign w:val="center"/>
          </w:tcPr>
          <w:p>
            <w:pPr>
              <w:widowControl/>
              <w:jc w:val="left"/>
              <w:rPr>
                <w:color w:val="000000" w:themeColor="text1"/>
                <w:kern w:val="0"/>
                <w:sz w:val="28"/>
                <w:szCs w:val="28"/>
                <w14:textFill>
                  <w14:solidFill>
                    <w14:schemeClr w14:val="tx1"/>
                  </w14:solidFill>
                </w14:textFill>
              </w:rPr>
            </w:pPr>
            <w:r>
              <w:rPr>
                <w:rFonts w:eastAsia="宋体"/>
                <w:color w:val="000000"/>
                <w:kern w:val="0"/>
                <w:sz w:val="28"/>
                <w:szCs w:val="28"/>
              </w:rPr>
              <w:t xml:space="preserve">  </w:t>
            </w: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w:t>
            </w:r>
            <w:r>
              <w:rPr>
                <w:rFonts w:eastAsia="宋体"/>
                <w:color w:val="000000" w:themeColor="text1"/>
                <w:kern w:val="0"/>
                <w:sz w:val="28"/>
                <w:szCs w:val="28"/>
                <w14:textFill>
                  <w14:solidFill>
                    <w14:schemeClr w14:val="tx1"/>
                  </w14:solidFill>
                </w14:textFill>
              </w:rPr>
              <w:t xml:space="preserve">  1</w:t>
            </w:r>
            <w:r>
              <w:rPr>
                <w:color w:val="000000" w:themeColor="text1"/>
                <w:kern w:val="0"/>
                <w:sz w:val="28"/>
                <w:szCs w:val="28"/>
                <w14:textFill>
                  <w14:solidFill>
                    <w14:schemeClr w14:val="tx1"/>
                  </w14:solidFill>
                </w14:textFill>
              </w:rPr>
              <w:t>、</w:t>
            </w:r>
            <w:r>
              <w:rPr>
                <w:rFonts w:eastAsia="宋体"/>
                <w:color w:val="000000" w:themeColor="text1"/>
                <w:kern w:val="0"/>
                <w:sz w:val="28"/>
                <w:szCs w:val="28"/>
                <w14:textFill>
                  <w14:solidFill>
                    <w14:schemeClr w14:val="tx1"/>
                  </w14:solidFill>
                </w14:textFill>
              </w:rPr>
              <w:t>“20</w:t>
            </w:r>
            <w:r>
              <w:rPr>
                <w:rFonts w:hint="eastAsia" w:eastAsia="宋体"/>
                <w:color w:val="000000" w:themeColor="text1"/>
                <w:kern w:val="0"/>
                <w:sz w:val="28"/>
                <w:szCs w:val="28"/>
                <w14:textFill>
                  <w14:solidFill>
                    <w14:schemeClr w14:val="tx1"/>
                  </w14:solidFill>
                </w14:textFill>
              </w:rPr>
              <w:t>2</w:t>
            </w:r>
            <w:r>
              <w:rPr>
                <w:rFonts w:hint="eastAsia" w:eastAsia="宋体"/>
                <w:color w:val="000000" w:themeColor="text1"/>
                <w:kern w:val="0"/>
                <w:sz w:val="28"/>
                <w:szCs w:val="28"/>
                <w:lang w:val="en-US" w:eastAsia="zh-CN"/>
                <w14:textFill>
                  <w14:solidFill>
                    <w14:schemeClr w14:val="tx1"/>
                  </w14:solidFill>
                </w14:textFill>
              </w:rPr>
              <w:t>4</w:t>
            </w:r>
            <w:r>
              <w:rPr>
                <w:color w:val="000000" w:themeColor="text1"/>
                <w:kern w:val="0"/>
                <w:sz w:val="28"/>
                <w:szCs w:val="28"/>
                <w14:textFill>
                  <w14:solidFill>
                    <w14:schemeClr w14:val="tx1"/>
                  </w14:solidFill>
                </w14:textFill>
              </w:rPr>
              <w:t>年预算数</w:t>
            </w:r>
            <w:r>
              <w:rPr>
                <w:rFonts w:eastAsia="宋体"/>
                <w:color w:val="000000" w:themeColor="text1"/>
                <w:kern w:val="0"/>
                <w:sz w:val="28"/>
                <w:szCs w:val="28"/>
                <w14:textFill>
                  <w14:solidFill>
                    <w14:schemeClr w14:val="tx1"/>
                  </w14:solidFill>
                </w14:textFill>
              </w:rPr>
              <w:t>”</w:t>
            </w:r>
            <w:r>
              <w:rPr>
                <w:color w:val="000000" w:themeColor="text1"/>
                <w:kern w:val="0"/>
                <w:sz w:val="28"/>
                <w:szCs w:val="28"/>
                <w14:textFill>
                  <w14:solidFill>
                    <w14:schemeClr w14:val="tx1"/>
                  </w14:solidFill>
                </w14:textFill>
              </w:rPr>
              <w:t>的单位范围包括部门本级及所属</w:t>
            </w:r>
            <w:r>
              <w:rPr>
                <w:rFonts w:hint="eastAsia" w:eastAsia="宋体"/>
                <w:color w:val="000000" w:themeColor="text1"/>
                <w:kern w:val="0"/>
                <w:sz w:val="28"/>
                <w:szCs w:val="28"/>
                <w:u w:val="single"/>
                <w:lang w:val="en-US" w:eastAsia="zh-CN"/>
                <w14:textFill>
                  <w14:solidFill>
                    <w14:schemeClr w14:val="tx1"/>
                  </w14:solidFill>
                </w14:textFill>
              </w:rPr>
              <w:t>1</w:t>
            </w:r>
            <w:r>
              <w:rPr>
                <w:color w:val="000000" w:themeColor="text1"/>
                <w:kern w:val="0"/>
                <w:sz w:val="28"/>
                <w:szCs w:val="28"/>
                <w14:textFill>
                  <w14:solidFill>
                    <w14:schemeClr w14:val="tx1"/>
                  </w14:solidFill>
                </w14:textFill>
              </w:rPr>
              <w:t>个预算单位。</w:t>
            </w:r>
            <w:r>
              <w:rPr>
                <w:rFonts w:eastAsia="宋体"/>
                <w:color w:val="000000" w:themeColor="text1"/>
                <w:kern w:val="0"/>
                <w:sz w:val="28"/>
                <w:szCs w:val="28"/>
                <w14:textFill>
                  <w14:solidFill>
                    <w14:schemeClr w14:val="tx1"/>
                  </w14:solidFill>
                </w14:textFill>
              </w:rPr>
              <w:t xml:space="preserve">   </w:t>
            </w:r>
            <w:r>
              <w:rPr>
                <w:rFonts w:eastAsia="宋体"/>
                <w:color w:val="000000" w:themeColor="text1"/>
                <w:kern w:val="0"/>
                <w:sz w:val="28"/>
                <w:szCs w:val="28"/>
                <w14:textFill>
                  <w14:solidFill>
                    <w14:schemeClr w14:val="tx1"/>
                  </w14:solidFill>
                </w14:textFill>
              </w:rPr>
              <w:br w:type="textWrapping"/>
            </w:r>
            <w:r>
              <w:rPr>
                <w:rFonts w:eastAsia="宋体"/>
                <w:color w:val="000000" w:themeColor="text1"/>
                <w:kern w:val="0"/>
                <w:sz w:val="28"/>
                <w:szCs w:val="28"/>
                <w14:textFill>
                  <w14:solidFill>
                    <w14:schemeClr w14:val="tx1"/>
                  </w14:solidFill>
                </w14:textFill>
              </w:rPr>
              <w:t xml:space="preserve">       2</w:t>
            </w:r>
            <w:r>
              <w:rPr>
                <w:color w:val="000000" w:themeColor="text1"/>
                <w:kern w:val="0"/>
                <w:sz w:val="28"/>
                <w:szCs w:val="28"/>
                <w14:textFill>
                  <w14:solidFill>
                    <w14:schemeClr w14:val="tx1"/>
                  </w14:solidFill>
                </w14:textFill>
              </w:rPr>
              <w:t>、</w:t>
            </w:r>
            <w:r>
              <w:rPr>
                <w:rFonts w:eastAsia="宋体"/>
                <w:color w:val="000000" w:themeColor="text1"/>
                <w:kern w:val="0"/>
                <w:sz w:val="28"/>
                <w:szCs w:val="28"/>
                <w14:textFill>
                  <w14:solidFill>
                    <w14:schemeClr w14:val="tx1"/>
                  </w14:solidFill>
                </w14:textFill>
              </w:rPr>
              <w:t>“20</w:t>
            </w:r>
            <w:r>
              <w:rPr>
                <w:rFonts w:hint="eastAsia" w:eastAsia="宋体"/>
                <w:color w:val="000000" w:themeColor="text1"/>
                <w:kern w:val="0"/>
                <w:sz w:val="28"/>
                <w:szCs w:val="28"/>
                <w14:textFill>
                  <w14:solidFill>
                    <w14:schemeClr w14:val="tx1"/>
                  </w14:solidFill>
                </w14:textFill>
              </w:rPr>
              <w:t>2</w:t>
            </w:r>
            <w:r>
              <w:rPr>
                <w:rFonts w:hint="eastAsia" w:eastAsia="宋体"/>
                <w:color w:val="000000" w:themeColor="text1"/>
                <w:kern w:val="0"/>
                <w:sz w:val="28"/>
                <w:szCs w:val="28"/>
                <w:lang w:val="en-US" w:eastAsia="zh-CN"/>
                <w14:textFill>
                  <w14:solidFill>
                    <w14:schemeClr w14:val="tx1"/>
                  </w14:solidFill>
                </w14:textFill>
              </w:rPr>
              <w:t>4</w:t>
            </w:r>
            <w:r>
              <w:rPr>
                <w:color w:val="000000" w:themeColor="text1"/>
                <w:kern w:val="0"/>
                <w:sz w:val="28"/>
                <w:szCs w:val="28"/>
                <w14:textFill>
                  <w14:solidFill>
                    <w14:schemeClr w14:val="tx1"/>
                  </w14:solidFill>
                </w14:textFill>
              </w:rPr>
              <w:t>年预算数</w:t>
            </w:r>
            <w:r>
              <w:rPr>
                <w:rFonts w:eastAsia="宋体"/>
                <w:color w:val="000000" w:themeColor="text1"/>
                <w:kern w:val="0"/>
                <w:sz w:val="28"/>
                <w:szCs w:val="28"/>
                <w14:textFill>
                  <w14:solidFill>
                    <w14:schemeClr w14:val="tx1"/>
                  </w14:solidFill>
                </w14:textFill>
              </w:rPr>
              <w:t>”</w:t>
            </w:r>
            <w:r>
              <w:rPr>
                <w:color w:val="000000" w:themeColor="text1"/>
                <w:kern w:val="0"/>
                <w:sz w:val="28"/>
                <w:szCs w:val="28"/>
                <w14:textFill>
                  <w14:solidFill>
                    <w14:schemeClr w14:val="tx1"/>
                  </w14:solidFill>
                </w14:textFill>
              </w:rPr>
              <w:t>的实有人员</w:t>
            </w:r>
            <w:r>
              <w:rPr>
                <w:rFonts w:hint="eastAsia" w:eastAsia="宋体"/>
                <w:color w:val="000000" w:themeColor="text1"/>
                <w:kern w:val="0"/>
                <w:sz w:val="28"/>
                <w:szCs w:val="28"/>
                <w:u w:val="single"/>
                <w:lang w:val="en-US" w:eastAsia="zh-CN"/>
                <w14:textFill>
                  <w14:solidFill>
                    <w14:schemeClr w14:val="tx1"/>
                  </w14:solidFill>
                </w14:textFill>
              </w:rPr>
              <w:t>35</w:t>
            </w:r>
            <w:r>
              <w:rPr>
                <w:color w:val="000000" w:themeColor="text1"/>
                <w:kern w:val="0"/>
                <w:sz w:val="28"/>
                <w:szCs w:val="28"/>
                <w14:textFill>
                  <w14:solidFill>
                    <w14:schemeClr w14:val="tx1"/>
                  </w14:solidFill>
                </w14:textFill>
              </w:rPr>
              <w:t>人，其中：在职人员</w:t>
            </w:r>
            <w:r>
              <w:rPr>
                <w:rFonts w:hint="eastAsia" w:eastAsia="宋体"/>
                <w:color w:val="000000" w:themeColor="text1"/>
                <w:kern w:val="0"/>
                <w:sz w:val="28"/>
                <w:szCs w:val="28"/>
                <w:u w:val="single"/>
                <w:lang w:val="en-US" w:eastAsia="zh-CN"/>
                <w14:textFill>
                  <w14:solidFill>
                    <w14:schemeClr w14:val="tx1"/>
                  </w14:solidFill>
                </w14:textFill>
              </w:rPr>
              <w:t>21</w:t>
            </w:r>
            <w:r>
              <w:rPr>
                <w:color w:val="000000" w:themeColor="text1"/>
                <w:kern w:val="0"/>
                <w:sz w:val="28"/>
                <w:szCs w:val="28"/>
                <w14:textFill>
                  <w14:solidFill>
                    <w14:schemeClr w14:val="tx1"/>
                  </w14:solidFill>
                </w14:textFill>
              </w:rPr>
              <w:t>人，离退休人员</w:t>
            </w:r>
            <w:r>
              <w:rPr>
                <w:rFonts w:hint="eastAsia" w:eastAsia="宋体"/>
                <w:color w:val="000000" w:themeColor="text1"/>
                <w:kern w:val="0"/>
                <w:sz w:val="28"/>
                <w:szCs w:val="28"/>
                <w:u w:val="single"/>
                <w:lang w:val="en-US" w:eastAsia="zh-CN"/>
                <w14:textFill>
                  <w14:solidFill>
                    <w14:schemeClr w14:val="tx1"/>
                  </w14:solidFill>
                </w14:textFill>
              </w:rPr>
              <w:t>14</w:t>
            </w:r>
            <w:r>
              <w:rPr>
                <w:color w:val="000000" w:themeColor="text1"/>
                <w:kern w:val="0"/>
                <w:sz w:val="28"/>
                <w:szCs w:val="28"/>
                <w14:textFill>
                  <w14:solidFill>
                    <w14:schemeClr w14:val="tx1"/>
                  </w14:solidFill>
                </w14:textFill>
              </w:rPr>
              <w:t>人。</w:t>
            </w:r>
          </w:p>
          <w:p>
            <w:pPr>
              <w:widowControl/>
              <w:jc w:val="left"/>
              <w:rPr>
                <w:rFonts w:hint="eastAsia" w:eastAsia="仿宋_GB2312"/>
                <w:color w:val="000000"/>
                <w:kern w:val="0"/>
                <w:sz w:val="28"/>
                <w:szCs w:val="28"/>
                <w:lang w:val="en-US" w:eastAsia="zh-CN"/>
              </w:rPr>
            </w:pPr>
            <w:r>
              <w:rPr>
                <w:rFonts w:hint="eastAsia"/>
                <w:color w:val="000000" w:themeColor="text1"/>
                <w:kern w:val="0"/>
                <w:sz w:val="28"/>
                <w:szCs w:val="28"/>
                <w:lang w:val="en-US" w:eastAsia="zh-CN"/>
                <w14:textFill>
                  <w14:solidFill>
                    <w14:schemeClr w14:val="tx1"/>
                  </w14:solidFill>
                </w14:textFill>
              </w:rPr>
              <w:t xml:space="preserve">      </w:t>
            </w:r>
          </w:p>
        </w:tc>
      </w:tr>
    </w:tbl>
    <w:p>
      <w:pPr>
        <w:ind w:firstLine="640" w:firstLineChars="200"/>
        <w:rPr>
          <w:rFonts w:eastAsia="楷体"/>
          <w:kern w:val="0"/>
          <w:szCs w:val="32"/>
        </w:rPr>
      </w:pPr>
      <w:r>
        <w:rPr>
          <w:rFonts w:hAnsi="楷体" w:eastAsia="楷体"/>
        </w:rPr>
        <w:br w:type="page"/>
      </w:r>
      <w:r>
        <w:rPr>
          <w:rFonts w:eastAsia="楷体"/>
          <w:kern w:val="0"/>
          <w:szCs w:val="32"/>
        </w:rPr>
        <w:t xml:space="preserve">    </w:t>
      </w:r>
    </w:p>
    <w:tbl>
      <w:tblPr>
        <w:tblStyle w:val="12"/>
        <w:tblpPr w:leftFromText="180" w:rightFromText="180" w:horzAnchor="margin" w:tblpY="321"/>
        <w:tblW w:w="8789" w:type="dxa"/>
        <w:tblInd w:w="0" w:type="dxa"/>
        <w:tblLayout w:type="fixed"/>
        <w:tblCellMar>
          <w:top w:w="15" w:type="dxa"/>
          <w:left w:w="15" w:type="dxa"/>
          <w:bottom w:w="15" w:type="dxa"/>
          <w:right w:w="15" w:type="dxa"/>
        </w:tblCellMar>
      </w:tblPr>
      <w:tblGrid>
        <w:gridCol w:w="2552"/>
        <w:gridCol w:w="2147"/>
        <w:gridCol w:w="1704"/>
        <w:gridCol w:w="2386"/>
      </w:tblGrid>
      <w:tr>
        <w:tblPrEx>
          <w:tblLayout w:type="fixed"/>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r>
              <w:rPr>
                <w:rFonts w:hint="eastAsia" w:asciiTheme="minorEastAsia" w:hAnsiTheme="minorEastAsia" w:eastAsiaTheme="minorEastAsia" w:cstheme="minorEastAsia"/>
                <w:kern w:val="0"/>
                <w:sz w:val="44"/>
                <w:szCs w:val="44"/>
              </w:rPr>
              <w:t>政府性基金预算支出表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1420" w:hRule="atLeast"/>
        </w:trPr>
        <w:tc>
          <w:tcPr>
            <w:tcW w:w="2552"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47" w:type="dxa"/>
            <w:tcBorders>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38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Layout w:type="fixed"/>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tbl>
      <w:tblPr>
        <w:tblStyle w:val="12"/>
        <w:tblW w:w="894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3"/>
        <w:gridCol w:w="1122"/>
        <w:gridCol w:w="1121"/>
        <w:gridCol w:w="1122"/>
        <w:gridCol w:w="663"/>
        <w:gridCol w:w="663"/>
        <w:gridCol w:w="1122"/>
        <w:gridCol w:w="1121"/>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4" w:hRule="atLeast"/>
        </w:trPr>
        <w:tc>
          <w:tcPr>
            <w:tcW w:w="8940" w:type="dxa"/>
            <w:gridSpan w:val="9"/>
            <w:tcBorders>
              <w:top w:val="nil"/>
              <w:left w:val="nil"/>
              <w:bottom w:val="nil"/>
              <w:right w:val="nil"/>
            </w:tcBorders>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Theme="minorEastAsia" w:hAnsiTheme="minorEastAsia" w:eastAsiaTheme="minorEastAsia" w:cstheme="minorEastAsia"/>
                <w:i w:val="0"/>
                <w:iCs w:val="0"/>
                <w:color w:val="000000"/>
                <w:kern w:val="0"/>
                <w:sz w:val="44"/>
                <w:szCs w:val="44"/>
                <w:u w:val="none"/>
                <w:lang w:val="en-US" w:eastAsia="zh-CN" w:bidi="ar"/>
              </w:rPr>
              <w:t>本年政府性基金预算支出明细表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6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1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科目编码</w:t>
            </w:r>
          </w:p>
        </w:tc>
        <w:tc>
          <w:tcPr>
            <w:tcW w:w="11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单位代码</w:t>
            </w:r>
          </w:p>
        </w:tc>
        <w:tc>
          <w:tcPr>
            <w:tcW w:w="11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单位名称</w:t>
            </w:r>
          </w:p>
        </w:tc>
        <w:tc>
          <w:tcPr>
            <w:tcW w:w="491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6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6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总计</w:t>
            </w:r>
          </w:p>
        </w:tc>
        <w:tc>
          <w:tcPr>
            <w:tcW w:w="290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基本支出</w:t>
            </w:r>
          </w:p>
        </w:tc>
        <w:tc>
          <w:tcPr>
            <w:tcW w:w="13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6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6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人员经费</w:t>
            </w:r>
          </w:p>
        </w:tc>
        <w:tc>
          <w:tcPr>
            <w:tcW w:w="11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公用经费</w:t>
            </w:r>
          </w:p>
        </w:tc>
        <w:tc>
          <w:tcPr>
            <w:tcW w:w="13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 w:val="0"/>
                <w:bCs w:val="0"/>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 w:val="0"/>
                <w:bCs w:val="0"/>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 w:val="0"/>
                <w:bCs w:val="0"/>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 w:val="0"/>
                <w:bCs w:val="0"/>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 w:val="0"/>
                <w:bCs w:val="0"/>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 w:val="0"/>
                <w:bCs w:val="0"/>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 w:val="0"/>
                <w:bCs w:val="0"/>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 w:val="0"/>
                <w:bCs w:val="0"/>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Verdana" w:hAnsi="Verdana" w:eastAsia="宋体" w:cs="Verdana"/>
                <w:i w:val="0"/>
                <w:iCs w:val="0"/>
                <w:color w:val="000000"/>
                <w:sz w:val="24"/>
                <w:szCs w:val="24"/>
                <w:u w:val="none"/>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12"/>
        <w:tblpPr w:leftFromText="180" w:rightFromText="180" w:horzAnchor="margin" w:tblpY="321"/>
        <w:tblW w:w="8789" w:type="dxa"/>
        <w:tblInd w:w="0" w:type="dxa"/>
        <w:tblLayout w:type="fixed"/>
        <w:tblCellMar>
          <w:top w:w="15" w:type="dxa"/>
          <w:left w:w="15" w:type="dxa"/>
          <w:bottom w:w="15" w:type="dxa"/>
          <w:right w:w="15" w:type="dxa"/>
        </w:tblCellMar>
      </w:tblPr>
      <w:tblGrid>
        <w:gridCol w:w="2552"/>
        <w:gridCol w:w="2267"/>
        <w:gridCol w:w="2269"/>
        <w:gridCol w:w="1701"/>
      </w:tblGrid>
      <w:tr>
        <w:tblPrEx>
          <w:tblLayout w:type="fixed"/>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国有资本经营预算支出表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267"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2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Layout w:type="fixed"/>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26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2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630" w:hRule="atLeast"/>
        </w:trPr>
        <w:tc>
          <w:tcPr>
            <w:tcW w:w="2552"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2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r>
      <w:tr>
        <w:tblPrEx>
          <w:tblLayout w:type="fixed"/>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12"/>
        <w:tblW w:w="8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63"/>
        <w:gridCol w:w="1107"/>
        <w:gridCol w:w="864"/>
        <w:gridCol w:w="498"/>
        <w:gridCol w:w="553"/>
        <w:gridCol w:w="554"/>
        <w:gridCol w:w="521"/>
        <w:gridCol w:w="564"/>
        <w:gridCol w:w="532"/>
        <w:gridCol w:w="598"/>
        <w:gridCol w:w="443"/>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8481" w:type="dxa"/>
            <w:gridSpan w:val="13"/>
            <w:tcBorders>
              <w:top w:val="nil"/>
              <w:left w:val="nil"/>
              <w:bottom w:val="nil"/>
              <w:right w:val="nil"/>
            </w:tcBorders>
            <w:vAlign w:val="center"/>
          </w:tcPr>
          <w:p>
            <w:pPr>
              <w:widowControl/>
              <w:jc w:val="center"/>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项目支出表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59"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1063"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1107"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864"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498"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1628" w:type="dxa"/>
            <w:gridSpan w:val="3"/>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562" w:type="dxa"/>
            <w:gridSpan w:val="5"/>
            <w:tcBorders>
              <w:top w:val="nil"/>
              <w:left w:val="nil"/>
              <w:right w:val="nil"/>
            </w:tcBorders>
            <w:vAlign w:val="center"/>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759" w:type="dxa"/>
            <w:vMerge w:val="restart"/>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170" w:type="dxa"/>
            <w:gridSpan w:val="2"/>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64" w:type="dxa"/>
            <w:vMerge w:val="restart"/>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w:t>
            </w:r>
          </w:p>
        </w:tc>
        <w:tc>
          <w:tcPr>
            <w:tcW w:w="498" w:type="dxa"/>
            <w:vMerge w:val="restart"/>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628" w:type="dxa"/>
            <w:gridSpan w:val="3"/>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本年财政拨款</w:t>
            </w:r>
          </w:p>
        </w:tc>
        <w:tc>
          <w:tcPr>
            <w:tcW w:w="1694" w:type="dxa"/>
            <w:gridSpan w:val="3"/>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443" w:type="dxa"/>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管理资金</w:t>
            </w:r>
          </w:p>
        </w:tc>
        <w:tc>
          <w:tcPr>
            <w:tcW w:w="425" w:type="dxa"/>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jc w:val="center"/>
        </w:trPr>
        <w:tc>
          <w:tcPr>
            <w:tcW w:w="759" w:type="dxa"/>
            <w:vMerge w:val="continue"/>
            <w:vAlign w:val="center"/>
          </w:tcPr>
          <w:p>
            <w:pPr>
              <w:autoSpaceDN w:val="0"/>
              <w:jc w:val="center"/>
              <w:textAlignment w:val="center"/>
              <w:rPr>
                <w:rFonts w:ascii="Calibri" w:hAnsi="Calibri" w:eastAsia="华文细黑"/>
                <w:color w:val="000000"/>
                <w:sz w:val="20"/>
                <w:szCs w:val="22"/>
              </w:rPr>
            </w:pPr>
          </w:p>
        </w:tc>
        <w:tc>
          <w:tcPr>
            <w:tcW w:w="1063"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107" w:type="dxa"/>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864" w:type="dxa"/>
            <w:vMerge w:val="continue"/>
            <w:vAlign w:val="center"/>
          </w:tcPr>
          <w:p>
            <w:pPr>
              <w:autoSpaceDN w:val="0"/>
              <w:jc w:val="center"/>
              <w:textAlignment w:val="center"/>
              <w:rPr>
                <w:rFonts w:ascii="Calibri" w:hAnsi="Calibri" w:eastAsia="华文细黑"/>
                <w:color w:val="000000"/>
                <w:sz w:val="20"/>
                <w:szCs w:val="22"/>
              </w:rPr>
            </w:pPr>
          </w:p>
        </w:tc>
        <w:tc>
          <w:tcPr>
            <w:tcW w:w="498" w:type="dxa"/>
            <w:vMerge w:val="continue"/>
            <w:vAlign w:val="center"/>
          </w:tcPr>
          <w:p>
            <w:pPr>
              <w:autoSpaceDN w:val="0"/>
              <w:jc w:val="center"/>
              <w:textAlignment w:val="center"/>
              <w:rPr>
                <w:rFonts w:ascii="Calibri" w:hAnsi="Calibri" w:eastAsia="华文细黑"/>
                <w:color w:val="000000"/>
                <w:sz w:val="20"/>
                <w:szCs w:val="22"/>
              </w:rPr>
            </w:pPr>
          </w:p>
        </w:tc>
        <w:tc>
          <w:tcPr>
            <w:tcW w:w="553"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554" w:type="dxa"/>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21"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经营预算</w:t>
            </w:r>
          </w:p>
        </w:tc>
        <w:tc>
          <w:tcPr>
            <w:tcW w:w="564"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32"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98"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43" w:type="dxa"/>
            <w:vMerge w:val="continue"/>
            <w:vAlign w:val="center"/>
          </w:tcPr>
          <w:p>
            <w:pPr>
              <w:autoSpaceDN w:val="0"/>
              <w:jc w:val="center"/>
              <w:textAlignment w:val="center"/>
              <w:rPr>
                <w:rFonts w:ascii="Calibri" w:hAnsi="Calibri" w:eastAsia="华文细黑"/>
                <w:color w:val="000000"/>
                <w:sz w:val="20"/>
                <w:szCs w:val="22"/>
              </w:rPr>
            </w:pPr>
          </w:p>
        </w:tc>
        <w:tc>
          <w:tcPr>
            <w:tcW w:w="425" w:type="dxa"/>
            <w:vMerge w:val="continue"/>
            <w:vAlign w:val="center"/>
          </w:tcPr>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59" w:type="dxa"/>
            <w:vAlign w:val="center"/>
          </w:tcPr>
          <w:p>
            <w:pPr>
              <w:spacing w:line="700" w:lineRule="exact"/>
              <w:jc w:val="center"/>
              <w:rPr>
                <w:rFonts w:ascii="Calibri" w:hAnsi="Calibri" w:eastAsia="楷体"/>
                <w:kern w:val="0"/>
                <w:szCs w:val="32"/>
              </w:rPr>
            </w:pPr>
          </w:p>
        </w:tc>
        <w:tc>
          <w:tcPr>
            <w:tcW w:w="1063" w:type="dxa"/>
            <w:vAlign w:val="center"/>
          </w:tcPr>
          <w:p>
            <w:pPr>
              <w:spacing w:line="700" w:lineRule="exact"/>
              <w:jc w:val="center"/>
              <w:rPr>
                <w:rFonts w:ascii="Calibri" w:hAnsi="Calibri" w:eastAsia="楷体"/>
                <w:kern w:val="0"/>
                <w:szCs w:val="32"/>
              </w:rPr>
            </w:pPr>
          </w:p>
        </w:tc>
        <w:tc>
          <w:tcPr>
            <w:tcW w:w="1107" w:type="dxa"/>
            <w:vAlign w:val="center"/>
          </w:tcPr>
          <w:p>
            <w:pPr>
              <w:spacing w:line="700" w:lineRule="exact"/>
              <w:jc w:val="center"/>
              <w:rPr>
                <w:rFonts w:ascii="Calibri" w:hAnsi="Calibri" w:eastAsia="楷体"/>
                <w:kern w:val="0"/>
                <w:szCs w:val="32"/>
              </w:rPr>
            </w:pPr>
          </w:p>
        </w:tc>
        <w:tc>
          <w:tcPr>
            <w:tcW w:w="864" w:type="dxa"/>
            <w:vAlign w:val="center"/>
          </w:tcPr>
          <w:p>
            <w:pPr>
              <w:spacing w:line="700" w:lineRule="exact"/>
              <w:jc w:val="center"/>
              <w:rPr>
                <w:rFonts w:ascii="Calibri" w:hAnsi="Calibri" w:eastAsia="楷体"/>
                <w:kern w:val="0"/>
                <w:szCs w:val="32"/>
              </w:rPr>
            </w:pPr>
          </w:p>
        </w:tc>
        <w:tc>
          <w:tcPr>
            <w:tcW w:w="498" w:type="dxa"/>
            <w:vAlign w:val="center"/>
          </w:tcPr>
          <w:p>
            <w:pPr>
              <w:spacing w:line="700" w:lineRule="exact"/>
              <w:jc w:val="center"/>
              <w:rPr>
                <w:rFonts w:ascii="Calibri" w:hAnsi="Calibri" w:eastAsia="楷体"/>
                <w:kern w:val="0"/>
                <w:szCs w:val="32"/>
              </w:rPr>
            </w:pPr>
          </w:p>
        </w:tc>
        <w:tc>
          <w:tcPr>
            <w:tcW w:w="553" w:type="dxa"/>
            <w:vAlign w:val="center"/>
          </w:tcPr>
          <w:p>
            <w:pPr>
              <w:spacing w:line="700" w:lineRule="exact"/>
              <w:jc w:val="center"/>
              <w:rPr>
                <w:rFonts w:ascii="Calibri" w:hAnsi="Calibri" w:eastAsia="楷体"/>
                <w:kern w:val="0"/>
                <w:szCs w:val="32"/>
              </w:rPr>
            </w:pPr>
          </w:p>
        </w:tc>
        <w:tc>
          <w:tcPr>
            <w:tcW w:w="554" w:type="dxa"/>
            <w:vAlign w:val="center"/>
          </w:tcPr>
          <w:p>
            <w:pPr>
              <w:spacing w:line="700" w:lineRule="exact"/>
              <w:jc w:val="center"/>
              <w:rPr>
                <w:rFonts w:ascii="Calibri" w:hAnsi="Calibri" w:eastAsia="楷体"/>
                <w:kern w:val="0"/>
                <w:szCs w:val="32"/>
              </w:rPr>
            </w:pPr>
          </w:p>
        </w:tc>
        <w:tc>
          <w:tcPr>
            <w:tcW w:w="521" w:type="dxa"/>
            <w:vAlign w:val="center"/>
          </w:tcPr>
          <w:p>
            <w:pPr>
              <w:spacing w:line="700" w:lineRule="exact"/>
              <w:jc w:val="center"/>
              <w:rPr>
                <w:rFonts w:ascii="Calibri" w:hAnsi="Calibri" w:eastAsia="楷体"/>
                <w:kern w:val="0"/>
                <w:szCs w:val="32"/>
              </w:rPr>
            </w:pPr>
          </w:p>
        </w:tc>
        <w:tc>
          <w:tcPr>
            <w:tcW w:w="564" w:type="dxa"/>
            <w:vAlign w:val="center"/>
          </w:tcPr>
          <w:p>
            <w:pPr>
              <w:spacing w:line="700" w:lineRule="exact"/>
              <w:jc w:val="center"/>
              <w:rPr>
                <w:rFonts w:ascii="Calibri" w:hAnsi="Calibri" w:eastAsia="楷体"/>
                <w:kern w:val="0"/>
                <w:szCs w:val="32"/>
              </w:rPr>
            </w:pPr>
          </w:p>
        </w:tc>
        <w:tc>
          <w:tcPr>
            <w:tcW w:w="532" w:type="dxa"/>
            <w:vAlign w:val="center"/>
          </w:tcPr>
          <w:p>
            <w:pPr>
              <w:spacing w:line="700" w:lineRule="exact"/>
              <w:jc w:val="center"/>
              <w:rPr>
                <w:rFonts w:ascii="Calibri" w:hAnsi="Calibri" w:eastAsia="楷体"/>
                <w:kern w:val="0"/>
                <w:szCs w:val="32"/>
              </w:rPr>
            </w:pPr>
          </w:p>
        </w:tc>
        <w:tc>
          <w:tcPr>
            <w:tcW w:w="598" w:type="dxa"/>
            <w:vAlign w:val="center"/>
          </w:tcPr>
          <w:p>
            <w:pPr>
              <w:spacing w:line="700" w:lineRule="exact"/>
              <w:jc w:val="center"/>
              <w:rPr>
                <w:rFonts w:ascii="Calibri" w:hAnsi="Calibri" w:eastAsia="楷体"/>
                <w:kern w:val="0"/>
                <w:szCs w:val="32"/>
              </w:rPr>
            </w:pPr>
          </w:p>
        </w:tc>
        <w:tc>
          <w:tcPr>
            <w:tcW w:w="443" w:type="dxa"/>
            <w:vAlign w:val="center"/>
          </w:tcPr>
          <w:p>
            <w:pPr>
              <w:spacing w:line="700" w:lineRule="exact"/>
              <w:jc w:val="center"/>
              <w:rPr>
                <w:rFonts w:ascii="Calibri" w:hAnsi="Calibri" w:eastAsia="楷体"/>
                <w:kern w:val="0"/>
                <w:szCs w:val="32"/>
              </w:rPr>
            </w:pPr>
          </w:p>
        </w:tc>
        <w:tc>
          <w:tcPr>
            <w:tcW w:w="425"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59" w:type="dxa"/>
            <w:vAlign w:val="center"/>
          </w:tcPr>
          <w:p>
            <w:pPr>
              <w:spacing w:line="700" w:lineRule="exact"/>
              <w:jc w:val="center"/>
              <w:rPr>
                <w:rFonts w:ascii="Calibri" w:hAnsi="Calibri" w:eastAsia="楷体"/>
                <w:kern w:val="0"/>
                <w:szCs w:val="32"/>
              </w:rPr>
            </w:pPr>
          </w:p>
        </w:tc>
        <w:tc>
          <w:tcPr>
            <w:tcW w:w="1063" w:type="dxa"/>
            <w:vAlign w:val="center"/>
          </w:tcPr>
          <w:p>
            <w:pPr>
              <w:spacing w:line="700" w:lineRule="exact"/>
              <w:jc w:val="center"/>
              <w:rPr>
                <w:rFonts w:ascii="Calibri" w:hAnsi="Calibri" w:eastAsia="楷体"/>
                <w:kern w:val="0"/>
                <w:szCs w:val="32"/>
              </w:rPr>
            </w:pPr>
          </w:p>
        </w:tc>
        <w:tc>
          <w:tcPr>
            <w:tcW w:w="1107" w:type="dxa"/>
            <w:vAlign w:val="center"/>
          </w:tcPr>
          <w:p>
            <w:pPr>
              <w:spacing w:line="700" w:lineRule="exact"/>
              <w:jc w:val="center"/>
              <w:rPr>
                <w:rFonts w:ascii="Calibri" w:hAnsi="Calibri" w:eastAsia="楷体"/>
                <w:kern w:val="0"/>
                <w:szCs w:val="32"/>
              </w:rPr>
            </w:pPr>
          </w:p>
        </w:tc>
        <w:tc>
          <w:tcPr>
            <w:tcW w:w="864" w:type="dxa"/>
            <w:vAlign w:val="center"/>
          </w:tcPr>
          <w:p>
            <w:pPr>
              <w:spacing w:line="700" w:lineRule="exact"/>
              <w:jc w:val="center"/>
              <w:rPr>
                <w:rFonts w:ascii="Calibri" w:hAnsi="Calibri" w:eastAsia="楷体"/>
                <w:kern w:val="0"/>
                <w:szCs w:val="32"/>
              </w:rPr>
            </w:pPr>
          </w:p>
        </w:tc>
        <w:tc>
          <w:tcPr>
            <w:tcW w:w="498" w:type="dxa"/>
            <w:vAlign w:val="center"/>
          </w:tcPr>
          <w:p>
            <w:pPr>
              <w:spacing w:line="700" w:lineRule="exact"/>
              <w:jc w:val="center"/>
              <w:rPr>
                <w:rFonts w:ascii="Calibri" w:hAnsi="Calibri" w:eastAsia="楷体"/>
                <w:kern w:val="0"/>
                <w:szCs w:val="32"/>
              </w:rPr>
            </w:pPr>
          </w:p>
        </w:tc>
        <w:tc>
          <w:tcPr>
            <w:tcW w:w="553" w:type="dxa"/>
            <w:vAlign w:val="center"/>
          </w:tcPr>
          <w:p>
            <w:pPr>
              <w:spacing w:line="700" w:lineRule="exact"/>
              <w:jc w:val="center"/>
              <w:rPr>
                <w:rFonts w:ascii="Calibri" w:hAnsi="Calibri" w:eastAsia="楷体"/>
                <w:kern w:val="0"/>
                <w:szCs w:val="32"/>
              </w:rPr>
            </w:pPr>
          </w:p>
        </w:tc>
        <w:tc>
          <w:tcPr>
            <w:tcW w:w="554" w:type="dxa"/>
            <w:vAlign w:val="center"/>
          </w:tcPr>
          <w:p>
            <w:pPr>
              <w:spacing w:line="700" w:lineRule="exact"/>
              <w:jc w:val="center"/>
              <w:rPr>
                <w:rFonts w:ascii="Calibri" w:hAnsi="Calibri" w:eastAsia="楷体"/>
                <w:kern w:val="0"/>
                <w:szCs w:val="32"/>
              </w:rPr>
            </w:pPr>
          </w:p>
        </w:tc>
        <w:tc>
          <w:tcPr>
            <w:tcW w:w="521" w:type="dxa"/>
            <w:vAlign w:val="center"/>
          </w:tcPr>
          <w:p>
            <w:pPr>
              <w:spacing w:line="700" w:lineRule="exact"/>
              <w:jc w:val="center"/>
              <w:rPr>
                <w:rFonts w:ascii="Calibri" w:hAnsi="Calibri" w:eastAsia="楷体"/>
                <w:kern w:val="0"/>
                <w:szCs w:val="32"/>
              </w:rPr>
            </w:pPr>
          </w:p>
        </w:tc>
        <w:tc>
          <w:tcPr>
            <w:tcW w:w="564" w:type="dxa"/>
            <w:vAlign w:val="center"/>
          </w:tcPr>
          <w:p>
            <w:pPr>
              <w:spacing w:line="700" w:lineRule="exact"/>
              <w:jc w:val="center"/>
              <w:rPr>
                <w:rFonts w:ascii="Calibri" w:hAnsi="Calibri" w:eastAsia="楷体"/>
                <w:kern w:val="0"/>
                <w:szCs w:val="32"/>
              </w:rPr>
            </w:pPr>
          </w:p>
        </w:tc>
        <w:tc>
          <w:tcPr>
            <w:tcW w:w="532" w:type="dxa"/>
            <w:vAlign w:val="center"/>
          </w:tcPr>
          <w:p>
            <w:pPr>
              <w:spacing w:line="700" w:lineRule="exact"/>
              <w:jc w:val="center"/>
              <w:rPr>
                <w:rFonts w:ascii="Calibri" w:hAnsi="Calibri" w:eastAsia="楷体"/>
                <w:kern w:val="0"/>
                <w:szCs w:val="32"/>
              </w:rPr>
            </w:pPr>
          </w:p>
        </w:tc>
        <w:tc>
          <w:tcPr>
            <w:tcW w:w="598" w:type="dxa"/>
            <w:vAlign w:val="center"/>
          </w:tcPr>
          <w:p>
            <w:pPr>
              <w:spacing w:line="700" w:lineRule="exact"/>
              <w:jc w:val="center"/>
              <w:rPr>
                <w:rFonts w:ascii="Calibri" w:hAnsi="Calibri" w:eastAsia="楷体"/>
                <w:kern w:val="0"/>
                <w:szCs w:val="32"/>
              </w:rPr>
            </w:pPr>
          </w:p>
        </w:tc>
        <w:tc>
          <w:tcPr>
            <w:tcW w:w="443" w:type="dxa"/>
            <w:vAlign w:val="center"/>
          </w:tcPr>
          <w:p>
            <w:pPr>
              <w:spacing w:line="700" w:lineRule="exact"/>
              <w:jc w:val="center"/>
              <w:rPr>
                <w:rFonts w:ascii="Calibri" w:hAnsi="Calibri" w:eastAsia="楷体"/>
                <w:kern w:val="0"/>
                <w:szCs w:val="32"/>
              </w:rPr>
            </w:pPr>
          </w:p>
        </w:tc>
        <w:tc>
          <w:tcPr>
            <w:tcW w:w="425"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59" w:type="dxa"/>
            <w:vAlign w:val="center"/>
          </w:tcPr>
          <w:p>
            <w:pPr>
              <w:spacing w:line="700" w:lineRule="exact"/>
              <w:jc w:val="center"/>
              <w:rPr>
                <w:rFonts w:ascii="Calibri" w:hAnsi="Calibri" w:eastAsia="楷体"/>
                <w:kern w:val="0"/>
                <w:szCs w:val="32"/>
              </w:rPr>
            </w:pPr>
          </w:p>
        </w:tc>
        <w:tc>
          <w:tcPr>
            <w:tcW w:w="1063" w:type="dxa"/>
            <w:vAlign w:val="center"/>
          </w:tcPr>
          <w:p>
            <w:pPr>
              <w:spacing w:line="700" w:lineRule="exact"/>
              <w:jc w:val="center"/>
              <w:rPr>
                <w:rFonts w:ascii="Calibri" w:hAnsi="Calibri" w:eastAsia="楷体"/>
                <w:kern w:val="0"/>
                <w:szCs w:val="32"/>
              </w:rPr>
            </w:pPr>
          </w:p>
        </w:tc>
        <w:tc>
          <w:tcPr>
            <w:tcW w:w="1107" w:type="dxa"/>
            <w:vAlign w:val="center"/>
          </w:tcPr>
          <w:p>
            <w:pPr>
              <w:spacing w:line="700" w:lineRule="exact"/>
              <w:jc w:val="center"/>
              <w:rPr>
                <w:rFonts w:ascii="Calibri" w:hAnsi="Calibri" w:eastAsia="楷体"/>
                <w:kern w:val="0"/>
                <w:szCs w:val="32"/>
              </w:rPr>
            </w:pPr>
          </w:p>
        </w:tc>
        <w:tc>
          <w:tcPr>
            <w:tcW w:w="864" w:type="dxa"/>
            <w:vAlign w:val="center"/>
          </w:tcPr>
          <w:p>
            <w:pPr>
              <w:spacing w:line="700" w:lineRule="exact"/>
              <w:jc w:val="center"/>
              <w:rPr>
                <w:rFonts w:ascii="Calibri" w:hAnsi="Calibri" w:eastAsia="楷体"/>
                <w:kern w:val="0"/>
                <w:szCs w:val="32"/>
              </w:rPr>
            </w:pPr>
          </w:p>
        </w:tc>
        <w:tc>
          <w:tcPr>
            <w:tcW w:w="498" w:type="dxa"/>
            <w:vAlign w:val="center"/>
          </w:tcPr>
          <w:p>
            <w:pPr>
              <w:spacing w:line="700" w:lineRule="exact"/>
              <w:jc w:val="center"/>
              <w:rPr>
                <w:rFonts w:ascii="Calibri" w:hAnsi="Calibri" w:eastAsia="楷体"/>
                <w:kern w:val="0"/>
                <w:szCs w:val="32"/>
              </w:rPr>
            </w:pPr>
          </w:p>
        </w:tc>
        <w:tc>
          <w:tcPr>
            <w:tcW w:w="553" w:type="dxa"/>
            <w:vAlign w:val="center"/>
          </w:tcPr>
          <w:p>
            <w:pPr>
              <w:spacing w:line="700" w:lineRule="exact"/>
              <w:jc w:val="center"/>
              <w:rPr>
                <w:rFonts w:ascii="Calibri" w:hAnsi="Calibri" w:eastAsia="楷体"/>
                <w:kern w:val="0"/>
                <w:szCs w:val="32"/>
              </w:rPr>
            </w:pPr>
          </w:p>
        </w:tc>
        <w:tc>
          <w:tcPr>
            <w:tcW w:w="554" w:type="dxa"/>
            <w:vAlign w:val="center"/>
          </w:tcPr>
          <w:p>
            <w:pPr>
              <w:spacing w:line="700" w:lineRule="exact"/>
              <w:jc w:val="center"/>
              <w:rPr>
                <w:rFonts w:ascii="Calibri" w:hAnsi="Calibri" w:eastAsia="楷体"/>
                <w:kern w:val="0"/>
                <w:szCs w:val="32"/>
              </w:rPr>
            </w:pPr>
          </w:p>
        </w:tc>
        <w:tc>
          <w:tcPr>
            <w:tcW w:w="521" w:type="dxa"/>
            <w:vAlign w:val="center"/>
          </w:tcPr>
          <w:p>
            <w:pPr>
              <w:spacing w:line="700" w:lineRule="exact"/>
              <w:jc w:val="center"/>
              <w:rPr>
                <w:rFonts w:ascii="Calibri" w:hAnsi="Calibri" w:eastAsia="楷体"/>
                <w:kern w:val="0"/>
                <w:szCs w:val="32"/>
              </w:rPr>
            </w:pPr>
          </w:p>
        </w:tc>
        <w:tc>
          <w:tcPr>
            <w:tcW w:w="564" w:type="dxa"/>
            <w:vAlign w:val="center"/>
          </w:tcPr>
          <w:p>
            <w:pPr>
              <w:spacing w:line="700" w:lineRule="exact"/>
              <w:jc w:val="center"/>
              <w:rPr>
                <w:rFonts w:ascii="Calibri" w:hAnsi="Calibri" w:eastAsia="楷体"/>
                <w:kern w:val="0"/>
                <w:szCs w:val="32"/>
              </w:rPr>
            </w:pPr>
          </w:p>
        </w:tc>
        <w:tc>
          <w:tcPr>
            <w:tcW w:w="532" w:type="dxa"/>
            <w:vAlign w:val="center"/>
          </w:tcPr>
          <w:p>
            <w:pPr>
              <w:spacing w:line="700" w:lineRule="exact"/>
              <w:jc w:val="center"/>
              <w:rPr>
                <w:rFonts w:ascii="Calibri" w:hAnsi="Calibri" w:eastAsia="楷体"/>
                <w:kern w:val="0"/>
                <w:szCs w:val="32"/>
              </w:rPr>
            </w:pPr>
          </w:p>
        </w:tc>
        <w:tc>
          <w:tcPr>
            <w:tcW w:w="598" w:type="dxa"/>
            <w:vAlign w:val="center"/>
          </w:tcPr>
          <w:p>
            <w:pPr>
              <w:spacing w:line="700" w:lineRule="exact"/>
              <w:jc w:val="center"/>
              <w:rPr>
                <w:rFonts w:ascii="Calibri" w:hAnsi="Calibri" w:eastAsia="楷体"/>
                <w:kern w:val="0"/>
                <w:szCs w:val="32"/>
              </w:rPr>
            </w:pPr>
          </w:p>
        </w:tc>
        <w:tc>
          <w:tcPr>
            <w:tcW w:w="443" w:type="dxa"/>
            <w:vAlign w:val="center"/>
          </w:tcPr>
          <w:p>
            <w:pPr>
              <w:spacing w:line="700" w:lineRule="exact"/>
              <w:jc w:val="center"/>
              <w:rPr>
                <w:rFonts w:ascii="Calibri" w:hAnsi="Calibri" w:eastAsia="楷体"/>
                <w:kern w:val="0"/>
                <w:szCs w:val="32"/>
              </w:rPr>
            </w:pPr>
          </w:p>
        </w:tc>
        <w:tc>
          <w:tcPr>
            <w:tcW w:w="425"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59" w:type="dxa"/>
            <w:vAlign w:val="center"/>
          </w:tcPr>
          <w:p>
            <w:pPr>
              <w:spacing w:line="700" w:lineRule="exact"/>
              <w:jc w:val="center"/>
              <w:rPr>
                <w:rFonts w:ascii="Calibri" w:hAnsi="Calibri" w:eastAsia="楷体"/>
                <w:kern w:val="0"/>
                <w:szCs w:val="32"/>
              </w:rPr>
            </w:pPr>
          </w:p>
        </w:tc>
        <w:tc>
          <w:tcPr>
            <w:tcW w:w="1063" w:type="dxa"/>
            <w:vAlign w:val="center"/>
          </w:tcPr>
          <w:p>
            <w:pPr>
              <w:spacing w:line="700" w:lineRule="exact"/>
              <w:jc w:val="center"/>
              <w:rPr>
                <w:rFonts w:ascii="Calibri" w:hAnsi="Calibri" w:eastAsia="楷体"/>
                <w:kern w:val="0"/>
                <w:szCs w:val="32"/>
              </w:rPr>
            </w:pPr>
          </w:p>
        </w:tc>
        <w:tc>
          <w:tcPr>
            <w:tcW w:w="1107" w:type="dxa"/>
            <w:vAlign w:val="center"/>
          </w:tcPr>
          <w:p>
            <w:pPr>
              <w:spacing w:line="700" w:lineRule="exact"/>
              <w:jc w:val="center"/>
              <w:rPr>
                <w:rFonts w:ascii="Calibri" w:hAnsi="Calibri" w:eastAsia="楷体"/>
                <w:kern w:val="0"/>
                <w:szCs w:val="32"/>
              </w:rPr>
            </w:pPr>
          </w:p>
        </w:tc>
        <w:tc>
          <w:tcPr>
            <w:tcW w:w="864" w:type="dxa"/>
            <w:vAlign w:val="center"/>
          </w:tcPr>
          <w:p>
            <w:pPr>
              <w:spacing w:line="700" w:lineRule="exact"/>
              <w:jc w:val="center"/>
              <w:rPr>
                <w:rFonts w:ascii="Calibri" w:hAnsi="Calibri" w:eastAsia="楷体"/>
                <w:kern w:val="0"/>
                <w:szCs w:val="32"/>
              </w:rPr>
            </w:pPr>
          </w:p>
        </w:tc>
        <w:tc>
          <w:tcPr>
            <w:tcW w:w="498" w:type="dxa"/>
            <w:vAlign w:val="center"/>
          </w:tcPr>
          <w:p>
            <w:pPr>
              <w:spacing w:line="700" w:lineRule="exact"/>
              <w:jc w:val="center"/>
              <w:rPr>
                <w:rFonts w:ascii="Calibri" w:hAnsi="Calibri" w:eastAsia="楷体"/>
                <w:kern w:val="0"/>
                <w:szCs w:val="32"/>
              </w:rPr>
            </w:pPr>
          </w:p>
        </w:tc>
        <w:tc>
          <w:tcPr>
            <w:tcW w:w="553" w:type="dxa"/>
            <w:vAlign w:val="center"/>
          </w:tcPr>
          <w:p>
            <w:pPr>
              <w:spacing w:line="700" w:lineRule="exact"/>
              <w:jc w:val="center"/>
              <w:rPr>
                <w:rFonts w:ascii="Calibri" w:hAnsi="Calibri" w:eastAsia="楷体"/>
                <w:kern w:val="0"/>
                <w:szCs w:val="32"/>
              </w:rPr>
            </w:pPr>
          </w:p>
        </w:tc>
        <w:tc>
          <w:tcPr>
            <w:tcW w:w="554" w:type="dxa"/>
            <w:vAlign w:val="center"/>
          </w:tcPr>
          <w:p>
            <w:pPr>
              <w:spacing w:line="700" w:lineRule="exact"/>
              <w:jc w:val="center"/>
              <w:rPr>
                <w:rFonts w:ascii="Calibri" w:hAnsi="Calibri" w:eastAsia="楷体"/>
                <w:kern w:val="0"/>
                <w:szCs w:val="32"/>
              </w:rPr>
            </w:pPr>
          </w:p>
        </w:tc>
        <w:tc>
          <w:tcPr>
            <w:tcW w:w="521" w:type="dxa"/>
            <w:vAlign w:val="center"/>
          </w:tcPr>
          <w:p>
            <w:pPr>
              <w:spacing w:line="700" w:lineRule="exact"/>
              <w:jc w:val="center"/>
              <w:rPr>
                <w:rFonts w:ascii="Calibri" w:hAnsi="Calibri" w:eastAsia="楷体"/>
                <w:kern w:val="0"/>
                <w:szCs w:val="32"/>
              </w:rPr>
            </w:pPr>
          </w:p>
        </w:tc>
        <w:tc>
          <w:tcPr>
            <w:tcW w:w="564" w:type="dxa"/>
            <w:vAlign w:val="center"/>
          </w:tcPr>
          <w:p>
            <w:pPr>
              <w:spacing w:line="700" w:lineRule="exact"/>
              <w:jc w:val="center"/>
              <w:rPr>
                <w:rFonts w:ascii="Calibri" w:hAnsi="Calibri" w:eastAsia="楷体"/>
                <w:kern w:val="0"/>
                <w:szCs w:val="32"/>
              </w:rPr>
            </w:pPr>
          </w:p>
        </w:tc>
        <w:tc>
          <w:tcPr>
            <w:tcW w:w="532" w:type="dxa"/>
            <w:vAlign w:val="center"/>
          </w:tcPr>
          <w:p>
            <w:pPr>
              <w:spacing w:line="700" w:lineRule="exact"/>
              <w:jc w:val="center"/>
              <w:rPr>
                <w:rFonts w:ascii="Calibri" w:hAnsi="Calibri" w:eastAsia="楷体"/>
                <w:kern w:val="0"/>
                <w:szCs w:val="32"/>
              </w:rPr>
            </w:pPr>
          </w:p>
        </w:tc>
        <w:tc>
          <w:tcPr>
            <w:tcW w:w="598" w:type="dxa"/>
            <w:vAlign w:val="center"/>
          </w:tcPr>
          <w:p>
            <w:pPr>
              <w:spacing w:line="700" w:lineRule="exact"/>
              <w:jc w:val="center"/>
              <w:rPr>
                <w:rFonts w:ascii="Calibri" w:hAnsi="Calibri" w:eastAsia="楷体"/>
                <w:kern w:val="0"/>
                <w:szCs w:val="32"/>
              </w:rPr>
            </w:pPr>
          </w:p>
        </w:tc>
        <w:tc>
          <w:tcPr>
            <w:tcW w:w="443" w:type="dxa"/>
            <w:vAlign w:val="center"/>
          </w:tcPr>
          <w:p>
            <w:pPr>
              <w:spacing w:line="700" w:lineRule="exact"/>
              <w:jc w:val="center"/>
              <w:rPr>
                <w:rFonts w:ascii="Calibri" w:hAnsi="Calibri" w:eastAsia="楷体"/>
                <w:kern w:val="0"/>
                <w:szCs w:val="32"/>
              </w:rPr>
            </w:pPr>
          </w:p>
        </w:tc>
        <w:tc>
          <w:tcPr>
            <w:tcW w:w="425"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59" w:type="dxa"/>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063" w:type="dxa"/>
            <w:vAlign w:val="center"/>
          </w:tcPr>
          <w:p>
            <w:pPr>
              <w:autoSpaceDN w:val="0"/>
              <w:jc w:val="center"/>
              <w:textAlignment w:val="center"/>
              <w:rPr>
                <w:rFonts w:ascii="Calibri" w:hAnsi="Calibri" w:eastAsia="华文细黑"/>
                <w:color w:val="000000"/>
                <w:sz w:val="20"/>
                <w:szCs w:val="22"/>
              </w:rPr>
            </w:pPr>
          </w:p>
        </w:tc>
        <w:tc>
          <w:tcPr>
            <w:tcW w:w="1107" w:type="dxa"/>
            <w:vAlign w:val="center"/>
          </w:tcPr>
          <w:p>
            <w:pPr>
              <w:spacing w:line="700" w:lineRule="exact"/>
              <w:jc w:val="center"/>
              <w:rPr>
                <w:rFonts w:ascii="Calibri" w:hAnsi="Calibri" w:eastAsia="楷体"/>
                <w:kern w:val="0"/>
                <w:szCs w:val="32"/>
              </w:rPr>
            </w:pPr>
          </w:p>
        </w:tc>
        <w:tc>
          <w:tcPr>
            <w:tcW w:w="864" w:type="dxa"/>
            <w:vAlign w:val="center"/>
          </w:tcPr>
          <w:p>
            <w:pPr>
              <w:spacing w:line="700" w:lineRule="exact"/>
              <w:jc w:val="center"/>
              <w:rPr>
                <w:rFonts w:ascii="Calibri" w:hAnsi="Calibri" w:eastAsia="楷体"/>
                <w:kern w:val="0"/>
                <w:szCs w:val="32"/>
              </w:rPr>
            </w:pPr>
          </w:p>
        </w:tc>
        <w:tc>
          <w:tcPr>
            <w:tcW w:w="498" w:type="dxa"/>
            <w:vAlign w:val="center"/>
          </w:tcPr>
          <w:p>
            <w:pPr>
              <w:spacing w:line="700" w:lineRule="exact"/>
              <w:jc w:val="center"/>
              <w:rPr>
                <w:rFonts w:ascii="Calibri" w:hAnsi="Calibri" w:eastAsia="楷体"/>
                <w:kern w:val="0"/>
                <w:szCs w:val="32"/>
              </w:rPr>
            </w:pPr>
          </w:p>
        </w:tc>
        <w:tc>
          <w:tcPr>
            <w:tcW w:w="553" w:type="dxa"/>
            <w:vAlign w:val="center"/>
          </w:tcPr>
          <w:p>
            <w:pPr>
              <w:spacing w:line="700" w:lineRule="exact"/>
              <w:jc w:val="center"/>
              <w:rPr>
                <w:rFonts w:ascii="Calibri" w:hAnsi="Calibri" w:eastAsia="楷体"/>
                <w:kern w:val="0"/>
                <w:szCs w:val="32"/>
              </w:rPr>
            </w:pPr>
          </w:p>
        </w:tc>
        <w:tc>
          <w:tcPr>
            <w:tcW w:w="554" w:type="dxa"/>
            <w:vAlign w:val="center"/>
          </w:tcPr>
          <w:p>
            <w:pPr>
              <w:spacing w:line="700" w:lineRule="exact"/>
              <w:jc w:val="center"/>
              <w:rPr>
                <w:rFonts w:ascii="Calibri" w:hAnsi="Calibri" w:eastAsia="楷体"/>
                <w:kern w:val="0"/>
                <w:szCs w:val="32"/>
              </w:rPr>
            </w:pPr>
          </w:p>
        </w:tc>
        <w:tc>
          <w:tcPr>
            <w:tcW w:w="521" w:type="dxa"/>
            <w:vAlign w:val="center"/>
          </w:tcPr>
          <w:p>
            <w:pPr>
              <w:spacing w:line="700" w:lineRule="exact"/>
              <w:jc w:val="center"/>
              <w:rPr>
                <w:rFonts w:ascii="Calibri" w:hAnsi="Calibri" w:eastAsia="楷体"/>
                <w:kern w:val="0"/>
                <w:szCs w:val="32"/>
              </w:rPr>
            </w:pPr>
          </w:p>
        </w:tc>
        <w:tc>
          <w:tcPr>
            <w:tcW w:w="564" w:type="dxa"/>
            <w:vAlign w:val="center"/>
          </w:tcPr>
          <w:p>
            <w:pPr>
              <w:spacing w:line="700" w:lineRule="exact"/>
              <w:jc w:val="center"/>
              <w:rPr>
                <w:rFonts w:ascii="Calibri" w:hAnsi="Calibri" w:eastAsia="楷体"/>
                <w:kern w:val="0"/>
                <w:szCs w:val="32"/>
              </w:rPr>
            </w:pPr>
          </w:p>
        </w:tc>
        <w:tc>
          <w:tcPr>
            <w:tcW w:w="532" w:type="dxa"/>
            <w:vAlign w:val="center"/>
          </w:tcPr>
          <w:p>
            <w:pPr>
              <w:spacing w:line="700" w:lineRule="exact"/>
              <w:jc w:val="center"/>
              <w:rPr>
                <w:rFonts w:ascii="Calibri" w:hAnsi="Calibri" w:eastAsia="楷体"/>
                <w:kern w:val="0"/>
                <w:szCs w:val="32"/>
              </w:rPr>
            </w:pPr>
          </w:p>
        </w:tc>
        <w:tc>
          <w:tcPr>
            <w:tcW w:w="598" w:type="dxa"/>
            <w:vAlign w:val="center"/>
          </w:tcPr>
          <w:p>
            <w:pPr>
              <w:spacing w:line="700" w:lineRule="exact"/>
              <w:jc w:val="center"/>
              <w:rPr>
                <w:rFonts w:ascii="Calibri" w:hAnsi="Calibri" w:eastAsia="楷体"/>
                <w:kern w:val="0"/>
                <w:szCs w:val="32"/>
              </w:rPr>
            </w:pPr>
          </w:p>
        </w:tc>
        <w:tc>
          <w:tcPr>
            <w:tcW w:w="443" w:type="dxa"/>
            <w:vAlign w:val="center"/>
          </w:tcPr>
          <w:p>
            <w:pPr>
              <w:spacing w:line="700" w:lineRule="exact"/>
              <w:jc w:val="center"/>
              <w:rPr>
                <w:rFonts w:ascii="Calibri" w:hAnsi="Calibri" w:eastAsia="楷体"/>
                <w:kern w:val="0"/>
                <w:szCs w:val="32"/>
              </w:rPr>
            </w:pPr>
          </w:p>
        </w:tc>
        <w:tc>
          <w:tcPr>
            <w:tcW w:w="425" w:type="dxa"/>
            <w:vAlign w:val="center"/>
          </w:tcPr>
          <w:p>
            <w:pPr>
              <w:spacing w:line="700" w:lineRule="exact"/>
              <w:jc w:val="center"/>
              <w:rPr>
                <w:rFonts w:ascii="Calibri" w:hAnsi="Calibri" w:eastAsia="楷体"/>
                <w:kern w:val="0"/>
                <w:szCs w:val="32"/>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p>
      <w:pPr>
        <w:spacing w:line="700" w:lineRule="exact"/>
        <w:ind w:firstLine="640" w:firstLineChars="200"/>
        <w:rPr>
          <w:rFonts w:eastAsia="楷体"/>
          <w:kern w:val="0"/>
          <w:szCs w:val="32"/>
        </w:rPr>
      </w:pPr>
    </w:p>
    <w:tbl>
      <w:tblPr>
        <w:tblStyle w:val="12"/>
        <w:tblpPr w:leftFromText="180" w:rightFromText="180" w:vertAnchor="text" w:horzAnchor="page" w:tblpX="1217" w:tblpY="483"/>
        <w:tblOverlap w:val="never"/>
        <w:tblW w:w="9582" w:type="dxa"/>
        <w:tblInd w:w="0" w:type="dxa"/>
        <w:tblLayout w:type="fixed"/>
        <w:tblCellMar>
          <w:top w:w="15" w:type="dxa"/>
          <w:left w:w="15" w:type="dxa"/>
          <w:bottom w:w="15" w:type="dxa"/>
          <w:right w:w="15" w:type="dxa"/>
        </w:tblCellMar>
      </w:tblPr>
      <w:tblGrid>
        <w:gridCol w:w="1069"/>
        <w:gridCol w:w="1763"/>
        <w:gridCol w:w="2043"/>
        <w:gridCol w:w="2315"/>
        <w:gridCol w:w="2392"/>
      </w:tblGrid>
      <w:tr>
        <w:tblPrEx>
          <w:tblLayout w:type="fixed"/>
          <w:tblCellMar>
            <w:top w:w="15" w:type="dxa"/>
            <w:left w:w="15" w:type="dxa"/>
            <w:bottom w:w="15" w:type="dxa"/>
            <w:right w:w="15" w:type="dxa"/>
          </w:tblCellMar>
        </w:tblPrEx>
        <w:trPr>
          <w:trHeight w:val="390" w:hRule="atLeast"/>
        </w:trPr>
        <w:tc>
          <w:tcPr>
            <w:tcW w:w="9582" w:type="dxa"/>
            <w:gridSpan w:val="5"/>
            <w:vAlign w:val="center"/>
          </w:tcPr>
          <w:p>
            <w:pPr>
              <w:widowControl/>
              <w:jc w:val="center"/>
              <w:textAlignment w:val="center"/>
              <w:rPr>
                <w:rFonts w:ascii="黑体" w:hAnsi="宋体" w:eastAsia="黑体" w:cs="黑体"/>
                <w:color w:val="000000"/>
                <w:szCs w:val="32"/>
              </w:rPr>
            </w:pPr>
            <w:r>
              <w:rPr>
                <w:rFonts w:hint="eastAsia" w:asciiTheme="minorEastAsia" w:hAnsiTheme="minorEastAsia" w:eastAsiaTheme="minorEastAsia" w:cstheme="minorEastAsia"/>
                <w:kern w:val="0"/>
                <w:sz w:val="44"/>
                <w:szCs w:val="44"/>
              </w:rPr>
              <w:t>项目支出绩效目标表</w:t>
            </w:r>
          </w:p>
        </w:tc>
      </w:tr>
      <w:tr>
        <w:tblPrEx>
          <w:tblLayout w:type="fixed"/>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项目名称</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r>
      <w:tr>
        <w:tblPrEx>
          <w:tblLayout w:type="fixed"/>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项目级次</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一级项目</w:t>
            </w:r>
          </w:p>
        </w:tc>
      </w:tr>
      <w:tr>
        <w:tblPrEx>
          <w:tblLayout w:type="fixed"/>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项目资金</w:t>
            </w:r>
            <w:r>
              <w:rPr>
                <w:rFonts w:hint="eastAsia" w:eastAsia="华文细黑"/>
                <w:color w:val="000000"/>
                <w:sz w:val="20"/>
              </w:rPr>
              <w:br w:type="textWrapping"/>
            </w:r>
            <w:r>
              <w:rPr>
                <w:rFonts w:hint="eastAsia" w:eastAsia="华文细黑"/>
                <w:color w:val="000000"/>
                <w:sz w:val="20"/>
              </w:rPr>
              <w:t>(万元）</w:t>
            </w: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年度资金总额</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其中：财政拨款</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 xml:space="preserve">      其他资金</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Layout w:type="fixed"/>
          <w:tblCellMar>
            <w:top w:w="15" w:type="dxa"/>
            <w:left w:w="15" w:type="dxa"/>
            <w:bottom w:w="15" w:type="dxa"/>
            <w:right w:w="15" w:type="dxa"/>
          </w:tblCellMar>
        </w:tblPrEx>
        <w:trPr>
          <w:trHeight w:val="1560" w:hRule="atLeast"/>
        </w:trPr>
        <w:tc>
          <w:tcPr>
            <w:tcW w:w="10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年度绩效</w:t>
            </w:r>
            <w:r>
              <w:rPr>
                <w:rFonts w:hint="eastAsia" w:eastAsia="华文细黑"/>
                <w:color w:val="000000"/>
                <w:sz w:val="20"/>
              </w:rPr>
              <w:br w:type="textWrapping"/>
            </w:r>
            <w:r>
              <w:rPr>
                <w:rFonts w:hint="eastAsia" w:eastAsia="华文细黑"/>
                <w:color w:val="000000"/>
                <w:sz w:val="20"/>
              </w:rPr>
              <w:t>目标</w:t>
            </w:r>
          </w:p>
        </w:tc>
        <w:tc>
          <w:tcPr>
            <w:tcW w:w="8513" w:type="dxa"/>
            <w:gridSpan w:val="4"/>
            <w:tcBorders>
              <w:top w:val="single" w:color="000000" w:sz="4" w:space="0"/>
              <w:left w:val="single" w:color="000000" w:sz="4" w:space="0"/>
              <w:bottom w:val="single" w:color="000000" w:sz="4" w:space="0"/>
              <w:right w:val="single" w:color="000000" w:sz="4" w:space="0"/>
            </w:tcBorders>
            <w:vAlign w:val="top"/>
          </w:tcPr>
          <w:p>
            <w:pPr>
              <w:autoSpaceDN w:val="0"/>
              <w:jc w:val="center"/>
              <w:textAlignment w:val="center"/>
              <w:rPr>
                <w:rFonts w:hint="eastAsia" w:eastAsia="华文细黑"/>
                <w:color w:val="000000"/>
                <w:sz w:val="20"/>
              </w:rPr>
            </w:pPr>
          </w:p>
        </w:tc>
      </w:tr>
      <w:tr>
        <w:tblPrEx>
          <w:tblLayout w:type="fixed"/>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绩效指标</w:t>
            </w:r>
          </w:p>
        </w:tc>
        <w:tc>
          <w:tcPr>
            <w:tcW w:w="17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一级指标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二级指标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三级指标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指标值</w:t>
            </w: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产出指标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数量指标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质量指标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成本指标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时效指标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效果指标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经济效益指标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社会效益指标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生态效益指标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可持续影响指标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r>
      <w:tr>
        <w:tblPrEx>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r>
              <w:rPr>
                <w:rFonts w:hint="eastAsia" w:eastAsia="华文细黑"/>
                <w:color w:val="000000"/>
                <w:sz w:val="20"/>
              </w:rPr>
              <w:t>满意度指标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rPr>
            </w:pPr>
          </w:p>
        </w:tc>
      </w:tr>
    </w:tbl>
    <w:p>
      <w:pPr>
        <w:spacing w:line="700" w:lineRule="exact"/>
        <w:ind w:firstLine="560" w:firstLineChars="200"/>
        <w:rPr>
          <w:rFonts w:hint="eastAsia" w:eastAsia="楷体"/>
          <w:kern w:val="0"/>
          <w:sz w:val="28"/>
          <w:szCs w:val="28"/>
        </w:rPr>
      </w:pPr>
    </w:p>
    <w:p>
      <w:pPr>
        <w:spacing w:line="700" w:lineRule="exact"/>
        <w:rPr>
          <w:rFonts w:hint="eastAsia" w:eastAsia="楷体"/>
          <w:kern w:val="0"/>
          <w:sz w:val="28"/>
          <w:szCs w:val="28"/>
        </w:rPr>
      </w:pPr>
    </w:p>
    <w:p>
      <w:pPr>
        <w:spacing w:line="700" w:lineRule="exact"/>
        <w:ind w:firstLine="640" w:firstLineChars="200"/>
        <w:rPr>
          <w:rFonts w:hint="eastAsia" w:eastAsia="楷体"/>
          <w:kern w:val="0"/>
          <w:szCs w:val="32"/>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按照综合预算的原则，所有收入和支出全部纳入部门预算管理。收入包括：一般公共预算拨款收入、政府性基金预算拨款收入、国有资本经营预算拨款收入、财政专户管理资金收入、事业收入、上级补助收入、附属单位上缴收入、事业单位经营收入、其他收入、用事业基金弥补收支差额、上年结转结余等；支出包括：一般公共服务支出、教育支出、科学技术支出、文化旅游体育与传媒支出、社会保障和就业支出、农林水支出、住房保障支出、结转下年支出等。202</w:t>
      </w:r>
      <w:r>
        <w:rPr>
          <w:rFonts w:hint="eastAsia" w:ascii="宋体" w:hAnsi="宋体" w:eastAsia="宋体" w:cs="宋体"/>
          <w:sz w:val="32"/>
          <w:szCs w:val="32"/>
          <w:lang w:val="en-US" w:eastAsia="zh-CN"/>
        </w:rPr>
        <w:t>4</w:t>
      </w:r>
      <w:r>
        <w:rPr>
          <w:rFonts w:hint="eastAsia" w:ascii="宋体" w:hAnsi="宋体" w:eastAsia="宋体" w:cs="宋体"/>
          <w:sz w:val="32"/>
          <w:szCs w:val="32"/>
        </w:rPr>
        <w:t>年收支总预算</w:t>
      </w:r>
      <w:r>
        <w:rPr>
          <w:rFonts w:hint="eastAsia" w:ascii="宋体" w:hAnsi="宋体" w:eastAsia="宋体" w:cs="宋体"/>
          <w:sz w:val="32"/>
          <w:szCs w:val="32"/>
          <w:lang w:val="en-US" w:eastAsia="zh-CN"/>
        </w:rPr>
        <w:t>378.84</w:t>
      </w:r>
      <w:r>
        <w:rPr>
          <w:rFonts w:hint="eastAsia" w:ascii="宋体" w:hAnsi="宋体" w:eastAsia="宋体" w:cs="宋体"/>
          <w:sz w:val="32"/>
          <w:szCs w:val="32"/>
        </w:rPr>
        <w:t>万元</w:t>
      </w:r>
      <w:r>
        <w:rPr>
          <w:rFonts w:hint="eastAsia" w:ascii="宋体" w:hAnsi="宋体" w:eastAsia="宋体" w:cs="宋体"/>
          <w:sz w:val="32"/>
          <w:szCs w:val="32"/>
          <w:lang w:eastAsia="zh-CN"/>
        </w:rPr>
        <w:t>，其中：当年预算</w:t>
      </w:r>
      <w:r>
        <w:rPr>
          <w:rFonts w:hint="eastAsia" w:ascii="宋体" w:hAnsi="宋体" w:eastAsia="宋体" w:cs="宋体"/>
          <w:sz w:val="32"/>
          <w:szCs w:val="32"/>
          <w:lang w:val="en-US" w:eastAsia="zh-CN"/>
        </w:rPr>
        <w:t>378.84</w:t>
      </w:r>
      <w:r>
        <w:rPr>
          <w:rFonts w:hint="eastAsia" w:ascii="宋体" w:hAnsi="宋体" w:eastAsia="宋体" w:cs="宋体"/>
          <w:sz w:val="32"/>
          <w:szCs w:val="32"/>
          <w:lang w:eastAsia="zh-CN"/>
        </w:rPr>
        <w:t>万元；上年结转</w:t>
      </w:r>
      <w:r>
        <w:rPr>
          <w:rFonts w:hint="eastAsia" w:ascii="宋体" w:hAnsi="宋体" w:eastAsia="宋体" w:cs="宋体"/>
          <w:sz w:val="32"/>
          <w:szCs w:val="32"/>
          <w:lang w:val="en-US" w:eastAsia="zh-CN"/>
        </w:rPr>
        <w:t>0</w:t>
      </w:r>
      <w:r>
        <w:rPr>
          <w:rFonts w:hint="eastAsia" w:ascii="宋体" w:hAnsi="宋体" w:eastAsia="宋体" w:cs="宋体"/>
          <w:sz w:val="32"/>
          <w:szCs w:val="32"/>
          <w:lang w:eastAsia="zh-CN"/>
        </w:rPr>
        <w:t>万元。</w:t>
      </w:r>
      <w:r>
        <w:rPr>
          <w:rFonts w:hint="eastAsia" w:ascii="宋体" w:hAnsi="宋体" w:eastAsia="宋体" w:cs="宋体"/>
          <w:sz w:val="32"/>
          <w:szCs w:val="32"/>
          <w:lang w:val="en-US" w:eastAsia="zh-CN"/>
        </w:rPr>
        <w:t>2024年当年预算</w:t>
      </w:r>
      <w:r>
        <w:rPr>
          <w:rFonts w:hint="eastAsia" w:ascii="宋体" w:hAnsi="宋体" w:eastAsia="宋体" w:cs="宋体"/>
          <w:sz w:val="32"/>
          <w:szCs w:val="32"/>
        </w:rPr>
        <w:t>比202</w:t>
      </w:r>
      <w:r>
        <w:rPr>
          <w:rFonts w:hint="eastAsia" w:ascii="宋体" w:hAnsi="宋体" w:eastAsia="宋体" w:cs="宋体"/>
          <w:sz w:val="32"/>
          <w:szCs w:val="32"/>
          <w:lang w:val="en-US" w:eastAsia="zh-CN"/>
        </w:rPr>
        <w:t>3</w:t>
      </w:r>
      <w:r>
        <w:rPr>
          <w:rFonts w:hint="eastAsia" w:ascii="宋体" w:hAnsi="宋体" w:eastAsia="宋体" w:cs="宋体"/>
          <w:sz w:val="32"/>
          <w:szCs w:val="32"/>
        </w:rPr>
        <w:t>年预算</w:t>
      </w:r>
      <w:r>
        <w:rPr>
          <w:rFonts w:hint="eastAsia" w:ascii="宋体" w:hAnsi="宋体" w:eastAsia="宋体" w:cs="宋体"/>
          <w:sz w:val="32"/>
          <w:szCs w:val="32"/>
          <w:lang w:val="en-US" w:eastAsia="zh-CN"/>
        </w:rPr>
        <w:t>减少396.11</w:t>
      </w:r>
      <w:r>
        <w:rPr>
          <w:rFonts w:hint="eastAsia" w:ascii="宋体" w:hAnsi="宋体" w:eastAsia="宋体" w:cs="宋体"/>
          <w:sz w:val="32"/>
          <w:szCs w:val="32"/>
        </w:rPr>
        <w:t>万元，主要原因是</w:t>
      </w:r>
      <w:r>
        <w:rPr>
          <w:rFonts w:hint="eastAsia" w:ascii="宋体" w:hAnsi="宋体" w:eastAsia="宋体" w:cs="宋体"/>
          <w:sz w:val="32"/>
          <w:szCs w:val="32"/>
          <w:lang w:val="en-US" w:eastAsia="zh-CN"/>
        </w:rPr>
        <w:t>项目支出减少。</w:t>
      </w:r>
    </w:p>
    <w:p>
      <w:pPr>
        <w:ind w:firstLine="640" w:firstLineChars="200"/>
        <w:rPr>
          <w:rFonts w:hint="eastAsia" w:ascii="宋体" w:hAnsi="宋体" w:eastAsia="宋体" w:cs="宋体"/>
          <w:szCs w:val="32"/>
        </w:rPr>
      </w:pPr>
      <w:r>
        <w:rPr>
          <w:rFonts w:hint="eastAsia" w:ascii="宋体" w:hAnsi="宋体" w:eastAsia="宋体" w:cs="宋体"/>
          <w:szCs w:val="32"/>
        </w:rPr>
        <w:t>二、202</w:t>
      </w:r>
      <w:r>
        <w:rPr>
          <w:rFonts w:hint="eastAsia" w:ascii="宋体" w:hAnsi="宋体" w:eastAsia="宋体" w:cs="宋体"/>
          <w:szCs w:val="32"/>
          <w:lang w:val="en-US" w:eastAsia="zh-CN"/>
        </w:rPr>
        <w:t>4</w:t>
      </w:r>
      <w:r>
        <w:rPr>
          <w:rFonts w:hint="eastAsia" w:ascii="宋体" w:hAnsi="宋体" w:eastAsia="宋体" w:cs="宋体"/>
          <w:szCs w:val="32"/>
        </w:rPr>
        <w:t>年收入预算情况</w:t>
      </w:r>
    </w:p>
    <w:p>
      <w:pPr>
        <w:ind w:firstLine="640" w:firstLineChars="2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年收入预算</w:t>
      </w:r>
      <w:r>
        <w:rPr>
          <w:rFonts w:hint="eastAsia" w:ascii="宋体" w:hAnsi="宋体" w:eastAsia="宋体" w:cs="宋体"/>
          <w:szCs w:val="32"/>
          <w:lang w:val="en-US" w:eastAsia="zh-CN"/>
        </w:rPr>
        <w:t>378.84</w:t>
      </w:r>
      <w:r>
        <w:rPr>
          <w:rFonts w:hint="eastAsia" w:ascii="宋体" w:hAnsi="宋体" w:eastAsia="宋体" w:cs="宋体"/>
          <w:szCs w:val="32"/>
        </w:rPr>
        <w:t>万元，其中：本年收入</w:t>
      </w:r>
      <w:r>
        <w:rPr>
          <w:rFonts w:hint="eastAsia" w:ascii="宋体" w:hAnsi="宋体" w:eastAsia="宋体" w:cs="宋体"/>
          <w:szCs w:val="32"/>
          <w:lang w:val="en-US" w:eastAsia="zh-CN"/>
        </w:rPr>
        <w:t>378.84</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%；上年结转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%。本年收入中，一般公共预算拨款收入</w:t>
      </w:r>
      <w:r>
        <w:rPr>
          <w:rFonts w:hint="eastAsia" w:ascii="宋体" w:hAnsi="宋体" w:eastAsia="宋体" w:cs="宋体"/>
          <w:szCs w:val="32"/>
          <w:lang w:val="en-US" w:eastAsia="zh-CN"/>
        </w:rPr>
        <w:t>378.84</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%；政府性基金预算拨款收入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%；国有资本经营预算拨款收入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%；财政专户管理资金收入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%；事业收入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%；上级补助收入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%；附属单位上缴收入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%；事业单位经营收入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%；其他收入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%。上年结转中，一般公共预算拨款结转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%；政府性基金预算拨款结转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%；国有资本经营预算拨款结转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%；财政专户管理资金结转结余</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%；单位资金结转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%；用事业基金弥补收支差额</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firstLineChars="200"/>
        <w:rPr>
          <w:rFonts w:hint="eastAsia" w:ascii="宋体" w:hAnsi="宋体" w:eastAsia="宋体" w:cs="宋体"/>
          <w:szCs w:val="32"/>
        </w:rPr>
      </w:pPr>
      <w:r>
        <w:rPr>
          <w:rFonts w:hint="eastAsia" w:ascii="宋体" w:hAnsi="宋体" w:eastAsia="宋体" w:cs="宋体"/>
          <w:szCs w:val="32"/>
        </w:rPr>
        <w:t>三、202</w:t>
      </w:r>
      <w:r>
        <w:rPr>
          <w:rFonts w:hint="eastAsia" w:ascii="宋体" w:hAnsi="宋体" w:eastAsia="宋体" w:cs="宋体"/>
          <w:szCs w:val="32"/>
          <w:lang w:val="en-US" w:eastAsia="zh-CN"/>
        </w:rPr>
        <w:t>4</w:t>
      </w:r>
      <w:r>
        <w:rPr>
          <w:rFonts w:hint="eastAsia" w:ascii="宋体" w:hAnsi="宋体" w:eastAsia="宋体" w:cs="宋体"/>
          <w:szCs w:val="32"/>
        </w:rPr>
        <w:t>年支出预算情况</w:t>
      </w:r>
    </w:p>
    <w:p>
      <w:pPr>
        <w:ind w:firstLine="640" w:firstLineChars="2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年支出预算</w:t>
      </w:r>
      <w:r>
        <w:rPr>
          <w:rFonts w:hint="eastAsia" w:ascii="宋体" w:hAnsi="宋体" w:eastAsia="宋体" w:cs="宋体"/>
          <w:szCs w:val="32"/>
          <w:lang w:val="en-US" w:eastAsia="zh-CN"/>
        </w:rPr>
        <w:t>378.84</w:t>
      </w:r>
      <w:r>
        <w:rPr>
          <w:rFonts w:hint="eastAsia" w:ascii="宋体" w:hAnsi="宋体" w:eastAsia="宋体" w:cs="宋体"/>
          <w:szCs w:val="32"/>
        </w:rPr>
        <w:t>万元，其中：基本支出</w:t>
      </w:r>
      <w:r>
        <w:rPr>
          <w:rFonts w:hint="eastAsia" w:ascii="宋体" w:hAnsi="宋体" w:eastAsia="宋体" w:cs="宋体"/>
          <w:szCs w:val="32"/>
          <w:lang w:val="en-US" w:eastAsia="zh-CN"/>
        </w:rPr>
        <w:t>378.84</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%；项目支出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%；事业单位经营支出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%；上缴上级支出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%；对附属单位补助支出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00"/>
        <w:rPr>
          <w:rFonts w:hint="eastAsia" w:ascii="宋体" w:hAnsi="宋体" w:eastAsia="宋体" w:cs="宋体"/>
          <w:szCs w:val="32"/>
        </w:rPr>
      </w:pPr>
      <w:r>
        <w:rPr>
          <w:rFonts w:hint="eastAsia" w:ascii="宋体" w:hAnsi="宋体" w:eastAsia="宋体" w:cs="宋体"/>
          <w:szCs w:val="32"/>
        </w:rPr>
        <w:t>四、202</w:t>
      </w:r>
      <w:r>
        <w:rPr>
          <w:rFonts w:hint="eastAsia" w:ascii="宋体" w:hAnsi="宋体" w:eastAsia="宋体" w:cs="宋体"/>
          <w:szCs w:val="32"/>
          <w:lang w:val="en-US" w:eastAsia="zh-CN"/>
        </w:rPr>
        <w:t>4</w:t>
      </w:r>
      <w:r>
        <w:rPr>
          <w:rFonts w:hint="eastAsia" w:ascii="宋体" w:hAnsi="宋体" w:eastAsia="宋体" w:cs="宋体"/>
          <w:szCs w:val="32"/>
        </w:rPr>
        <w:t>年财政拨款收支预算情况</w:t>
      </w:r>
    </w:p>
    <w:p>
      <w:pPr>
        <w:ind w:firstLine="6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年财政拨款收支总预算</w:t>
      </w:r>
      <w:r>
        <w:rPr>
          <w:rFonts w:hint="eastAsia" w:ascii="宋体" w:hAnsi="宋体" w:eastAsia="宋体" w:cs="宋体"/>
          <w:szCs w:val="32"/>
          <w:lang w:val="en-US" w:eastAsia="zh-CN"/>
        </w:rPr>
        <w:t>378.84</w:t>
      </w:r>
      <w:r>
        <w:rPr>
          <w:rFonts w:hint="eastAsia" w:ascii="宋体" w:hAnsi="宋体" w:eastAsia="宋体" w:cs="宋体"/>
          <w:szCs w:val="32"/>
        </w:rPr>
        <w:t>万元，其中：本年收入</w:t>
      </w:r>
      <w:r>
        <w:rPr>
          <w:rFonts w:hint="eastAsia" w:ascii="宋体" w:hAnsi="宋体" w:eastAsia="宋体" w:cs="宋体"/>
          <w:szCs w:val="32"/>
          <w:lang w:val="en-US" w:eastAsia="zh-CN"/>
        </w:rPr>
        <w:t>378.84</w:t>
      </w:r>
      <w:r>
        <w:rPr>
          <w:rFonts w:hint="eastAsia" w:ascii="宋体" w:hAnsi="宋体" w:eastAsia="宋体" w:cs="宋体"/>
          <w:szCs w:val="32"/>
        </w:rPr>
        <w:t>万元，上年结转</w:t>
      </w:r>
      <w:r>
        <w:rPr>
          <w:rFonts w:hint="eastAsia" w:ascii="宋体" w:hAnsi="宋体" w:eastAsia="宋体" w:cs="宋体"/>
          <w:szCs w:val="32"/>
          <w:lang w:val="en-US" w:eastAsia="zh-CN"/>
        </w:rPr>
        <w:t>0</w:t>
      </w:r>
      <w:r>
        <w:rPr>
          <w:rFonts w:hint="eastAsia" w:ascii="宋体" w:hAnsi="宋体" w:eastAsia="宋体" w:cs="宋体"/>
          <w:szCs w:val="32"/>
        </w:rPr>
        <w:t>万元。支出包括：</w:t>
      </w:r>
      <w:r>
        <w:rPr>
          <w:rFonts w:hint="eastAsia" w:ascii="宋体" w:hAnsi="宋体" w:eastAsia="宋体" w:cs="宋体"/>
          <w:kern w:val="0"/>
          <w:szCs w:val="32"/>
        </w:rPr>
        <w:t>一般公共服务支出</w:t>
      </w:r>
      <w:r>
        <w:rPr>
          <w:rFonts w:hint="eastAsia" w:ascii="宋体" w:hAnsi="宋体" w:eastAsia="宋体" w:cs="宋体"/>
          <w:kern w:val="0"/>
          <w:szCs w:val="32"/>
          <w:lang w:val="en-US" w:eastAsia="zh-CN"/>
        </w:rPr>
        <w:t>297.52</w:t>
      </w:r>
      <w:r>
        <w:rPr>
          <w:rFonts w:hint="eastAsia" w:ascii="宋体" w:hAnsi="宋体" w:eastAsia="宋体" w:cs="宋体"/>
          <w:szCs w:val="32"/>
        </w:rPr>
        <w:t>万元，</w:t>
      </w:r>
      <w:r>
        <w:rPr>
          <w:rFonts w:hint="eastAsia" w:ascii="宋体" w:hAnsi="宋体" w:eastAsia="宋体" w:cs="宋体"/>
          <w:kern w:val="0"/>
          <w:szCs w:val="32"/>
        </w:rPr>
        <w:t>国防支出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公共安全支出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教育支出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科学技术支出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文化旅游体育与传媒支出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社会保障和就业支出</w:t>
      </w:r>
      <w:r>
        <w:rPr>
          <w:rFonts w:hint="eastAsia" w:ascii="宋体" w:hAnsi="宋体" w:eastAsia="宋体" w:cs="宋体"/>
          <w:szCs w:val="32"/>
          <w:lang w:val="en-US" w:eastAsia="zh-CN"/>
        </w:rPr>
        <w:t>47.13</w:t>
      </w:r>
      <w:r>
        <w:rPr>
          <w:rFonts w:hint="eastAsia" w:ascii="宋体" w:hAnsi="宋体" w:eastAsia="宋体" w:cs="宋体"/>
          <w:szCs w:val="32"/>
        </w:rPr>
        <w:t>万元，</w:t>
      </w:r>
      <w:r>
        <w:rPr>
          <w:rFonts w:hint="eastAsia" w:ascii="宋体" w:hAnsi="宋体" w:eastAsia="宋体" w:cs="宋体"/>
          <w:kern w:val="0"/>
          <w:szCs w:val="32"/>
        </w:rPr>
        <w:t>社会保险基金支出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卫生健康支出</w:t>
      </w:r>
      <w:r>
        <w:rPr>
          <w:rFonts w:hint="eastAsia" w:ascii="宋体" w:hAnsi="宋体" w:eastAsia="宋体" w:cs="宋体"/>
          <w:szCs w:val="32"/>
          <w:lang w:val="en-US" w:eastAsia="zh-CN"/>
        </w:rPr>
        <w:t>12.71</w:t>
      </w:r>
      <w:r>
        <w:rPr>
          <w:rFonts w:hint="eastAsia" w:ascii="宋体" w:hAnsi="宋体" w:eastAsia="宋体" w:cs="宋体"/>
          <w:szCs w:val="32"/>
        </w:rPr>
        <w:t>万元，</w:t>
      </w:r>
      <w:r>
        <w:rPr>
          <w:rFonts w:hint="eastAsia" w:ascii="宋体" w:hAnsi="宋体" w:eastAsia="宋体" w:cs="宋体"/>
          <w:kern w:val="0"/>
          <w:szCs w:val="32"/>
        </w:rPr>
        <w:t>节能环保支出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城乡社区支出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农林水支出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交通运输支出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资源勘探信息等支出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商业服务业等支出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金融支出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援助其他地区支出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自然资源海洋气象等支出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住房保障支出</w:t>
      </w:r>
      <w:r>
        <w:rPr>
          <w:rFonts w:hint="eastAsia" w:ascii="宋体" w:hAnsi="宋体" w:eastAsia="宋体" w:cs="宋体"/>
          <w:szCs w:val="32"/>
          <w:lang w:val="en-US" w:eastAsia="zh-CN"/>
        </w:rPr>
        <w:t>21.48</w:t>
      </w:r>
      <w:r>
        <w:rPr>
          <w:rFonts w:hint="eastAsia" w:ascii="宋体" w:hAnsi="宋体" w:eastAsia="宋体" w:cs="宋体"/>
          <w:szCs w:val="32"/>
        </w:rPr>
        <w:t>万元，</w:t>
      </w:r>
      <w:r>
        <w:rPr>
          <w:rFonts w:hint="eastAsia" w:ascii="宋体" w:hAnsi="宋体" w:eastAsia="宋体" w:cs="宋体"/>
          <w:kern w:val="0"/>
          <w:szCs w:val="32"/>
        </w:rPr>
        <w:t>粮油物资储备支出</w:t>
      </w:r>
      <w:r>
        <w:rPr>
          <w:rFonts w:hint="eastAsia" w:ascii="宋体" w:hAnsi="宋体" w:eastAsia="宋体" w:cs="宋体"/>
          <w:szCs w:val="32"/>
          <w:lang w:val="en-US" w:eastAsia="zh-CN"/>
        </w:rPr>
        <w:t>0</w:t>
      </w:r>
      <w:r>
        <w:rPr>
          <w:rFonts w:hint="eastAsia" w:ascii="宋体" w:hAnsi="宋体" w:eastAsia="宋体" w:cs="宋体"/>
          <w:szCs w:val="32"/>
        </w:rPr>
        <w:t>万元，灾害防治及应急管理支出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其他支出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结转下年支出</w:t>
      </w:r>
      <w:r>
        <w:rPr>
          <w:rFonts w:hint="eastAsia" w:ascii="宋体" w:hAnsi="宋体" w:eastAsia="宋体" w:cs="宋体"/>
          <w:szCs w:val="32"/>
          <w:lang w:val="en-US" w:eastAsia="zh-CN"/>
        </w:rPr>
        <w:t>0</w:t>
      </w:r>
      <w:r>
        <w:rPr>
          <w:rFonts w:hint="eastAsia" w:ascii="宋体" w:hAnsi="宋体" w:eastAsia="宋体" w:cs="宋体"/>
          <w:szCs w:val="32"/>
        </w:rPr>
        <w:t>万元。</w:t>
      </w:r>
    </w:p>
    <w:p>
      <w:pPr>
        <w:ind w:firstLine="600"/>
        <w:rPr>
          <w:rFonts w:hint="eastAsia" w:ascii="宋体" w:hAnsi="宋体" w:eastAsia="宋体" w:cs="宋体"/>
          <w:szCs w:val="30"/>
        </w:rPr>
      </w:pPr>
      <w:r>
        <w:rPr>
          <w:rFonts w:hint="eastAsia" w:ascii="宋体" w:hAnsi="宋体" w:eastAsia="宋体" w:cs="宋体"/>
          <w:szCs w:val="30"/>
        </w:rPr>
        <w:t>五、202</w:t>
      </w:r>
      <w:r>
        <w:rPr>
          <w:rFonts w:hint="eastAsia" w:ascii="宋体" w:hAnsi="宋体" w:eastAsia="宋体" w:cs="宋体"/>
          <w:szCs w:val="30"/>
          <w:lang w:val="en-US" w:eastAsia="zh-CN"/>
        </w:rPr>
        <w:t>4</w:t>
      </w:r>
      <w:r>
        <w:rPr>
          <w:rFonts w:hint="eastAsia" w:ascii="宋体" w:hAnsi="宋体" w:eastAsia="宋体" w:cs="宋体"/>
          <w:szCs w:val="30"/>
        </w:rPr>
        <w:t>年一般公共预算支出情况</w:t>
      </w:r>
    </w:p>
    <w:p>
      <w:pPr>
        <w:spacing w:line="520" w:lineRule="exact"/>
        <w:ind w:firstLine="640" w:firstLineChars="2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年一般公共预算拨款</w:t>
      </w:r>
      <w:r>
        <w:rPr>
          <w:rFonts w:hint="eastAsia" w:ascii="宋体" w:hAnsi="宋体" w:eastAsia="宋体" w:cs="宋体"/>
          <w:szCs w:val="32"/>
          <w:lang w:val="en-US" w:eastAsia="zh-CN"/>
        </w:rPr>
        <w:t>378.84</w:t>
      </w:r>
      <w:r>
        <w:rPr>
          <w:rFonts w:hint="eastAsia" w:ascii="宋体" w:hAnsi="宋体" w:eastAsia="宋体" w:cs="宋体"/>
          <w:szCs w:val="32"/>
        </w:rPr>
        <w:t>万元，其中：基本支出</w:t>
      </w:r>
      <w:r>
        <w:rPr>
          <w:rFonts w:hint="eastAsia" w:ascii="宋体" w:hAnsi="宋体" w:eastAsia="宋体" w:cs="宋体"/>
          <w:szCs w:val="32"/>
          <w:lang w:val="en-US" w:eastAsia="zh-CN"/>
        </w:rPr>
        <w:t>799.95</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%；项目支出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%。基本支出中，人员经费</w:t>
      </w:r>
      <w:r>
        <w:rPr>
          <w:rFonts w:hint="eastAsia" w:ascii="宋体" w:hAnsi="宋体" w:eastAsia="宋体" w:cs="宋体"/>
          <w:szCs w:val="32"/>
          <w:lang w:val="en-US" w:eastAsia="zh-CN"/>
        </w:rPr>
        <w:t>245.82</w:t>
      </w:r>
      <w:r>
        <w:rPr>
          <w:rFonts w:hint="eastAsia" w:ascii="宋体" w:hAnsi="宋体" w:eastAsia="宋体" w:cs="宋体"/>
          <w:szCs w:val="32"/>
        </w:rPr>
        <w:t>万元，占</w:t>
      </w:r>
      <w:r>
        <w:rPr>
          <w:rFonts w:hint="eastAsia" w:ascii="宋体" w:hAnsi="宋体" w:eastAsia="宋体" w:cs="宋体"/>
          <w:szCs w:val="32"/>
          <w:lang w:val="en-US" w:eastAsia="zh-CN"/>
        </w:rPr>
        <w:t>64.89</w:t>
      </w:r>
      <w:r>
        <w:rPr>
          <w:rFonts w:hint="eastAsia" w:ascii="宋体" w:hAnsi="宋体" w:eastAsia="宋体" w:cs="宋体"/>
          <w:szCs w:val="32"/>
        </w:rPr>
        <w:t>%；公用经费</w:t>
      </w:r>
      <w:r>
        <w:rPr>
          <w:rFonts w:hint="eastAsia" w:ascii="宋体" w:hAnsi="宋体" w:eastAsia="宋体" w:cs="宋体"/>
          <w:szCs w:val="32"/>
          <w:lang w:val="en-US" w:eastAsia="zh-CN"/>
        </w:rPr>
        <w:t>133.02</w:t>
      </w:r>
      <w:r>
        <w:rPr>
          <w:rFonts w:hint="eastAsia" w:ascii="宋体" w:hAnsi="宋体" w:eastAsia="宋体" w:cs="宋体"/>
          <w:szCs w:val="32"/>
        </w:rPr>
        <w:t>万元，占</w:t>
      </w:r>
      <w:r>
        <w:rPr>
          <w:rFonts w:hint="eastAsia" w:ascii="宋体" w:hAnsi="宋体" w:eastAsia="宋体" w:cs="宋体"/>
          <w:szCs w:val="32"/>
          <w:lang w:val="en-US" w:eastAsia="zh-CN"/>
        </w:rPr>
        <w:t>35.11</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一般公共服务（类）支出</w:t>
      </w:r>
      <w:r>
        <w:rPr>
          <w:rFonts w:hint="eastAsia" w:ascii="宋体" w:hAnsi="宋体" w:eastAsia="宋体" w:cs="宋体"/>
          <w:szCs w:val="32"/>
          <w:lang w:val="en-US" w:eastAsia="zh-CN"/>
        </w:rPr>
        <w:t>297.52</w:t>
      </w:r>
      <w:r>
        <w:rPr>
          <w:rFonts w:hint="eastAsia" w:ascii="宋体" w:hAnsi="宋体" w:eastAsia="宋体" w:cs="宋体"/>
          <w:szCs w:val="32"/>
        </w:rPr>
        <w:t>万元，占</w:t>
      </w:r>
      <w:r>
        <w:rPr>
          <w:rFonts w:hint="eastAsia" w:ascii="宋体" w:hAnsi="宋体" w:eastAsia="宋体" w:cs="宋体"/>
          <w:szCs w:val="32"/>
          <w:lang w:val="en-US" w:eastAsia="zh-CN"/>
        </w:rPr>
        <w:t>78.54</w:t>
      </w:r>
      <w:r>
        <w:rPr>
          <w:rFonts w:hint="eastAsia" w:ascii="宋体" w:hAnsi="宋体" w:eastAsia="宋体" w:cs="宋体"/>
          <w:szCs w:val="32"/>
        </w:rPr>
        <w:t>%，主要用于</w:t>
      </w:r>
      <w:r>
        <w:rPr>
          <w:rFonts w:hint="eastAsia" w:ascii="宋体" w:hAnsi="宋体" w:eastAsia="宋体" w:cs="宋体"/>
          <w:szCs w:val="32"/>
          <w:lang w:val="en-US" w:eastAsia="zh-CN"/>
        </w:rPr>
        <w:t>人员工资支出</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国防（类）支出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教育（类）支出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科学技术（类）支出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文化旅游体育与传媒（类）支出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社会保障和就业（类）支出</w:t>
      </w:r>
      <w:r>
        <w:rPr>
          <w:rFonts w:hint="eastAsia" w:ascii="宋体" w:hAnsi="宋体" w:eastAsia="宋体" w:cs="宋体"/>
          <w:szCs w:val="32"/>
          <w:lang w:val="en-US" w:eastAsia="zh-CN"/>
        </w:rPr>
        <w:t>47.13</w:t>
      </w:r>
      <w:r>
        <w:rPr>
          <w:rFonts w:hint="eastAsia" w:ascii="宋体" w:hAnsi="宋体" w:eastAsia="宋体" w:cs="宋体"/>
          <w:szCs w:val="32"/>
        </w:rPr>
        <w:t>万元，占</w:t>
      </w:r>
      <w:r>
        <w:rPr>
          <w:rFonts w:hint="eastAsia" w:ascii="宋体" w:hAnsi="宋体" w:eastAsia="宋体" w:cs="宋体"/>
          <w:szCs w:val="32"/>
          <w:lang w:val="en-US" w:eastAsia="zh-CN"/>
        </w:rPr>
        <w:t>12.44</w:t>
      </w:r>
      <w:r>
        <w:rPr>
          <w:rFonts w:hint="eastAsia" w:ascii="宋体" w:hAnsi="宋体" w:eastAsia="宋体" w:cs="宋体"/>
          <w:szCs w:val="32"/>
        </w:rPr>
        <w:t>%，主要用于基本养老保险及职业年金缴费支出等。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农林水支出（类）支出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卫生健康支出（类）支出</w:t>
      </w:r>
      <w:r>
        <w:rPr>
          <w:rFonts w:hint="eastAsia" w:ascii="宋体" w:hAnsi="宋体" w:eastAsia="宋体" w:cs="宋体"/>
          <w:szCs w:val="32"/>
          <w:lang w:val="en-US" w:eastAsia="zh-CN"/>
        </w:rPr>
        <w:t>12.71</w:t>
      </w:r>
      <w:r>
        <w:rPr>
          <w:rFonts w:hint="eastAsia" w:ascii="宋体" w:hAnsi="宋体" w:eastAsia="宋体" w:cs="宋体"/>
          <w:szCs w:val="32"/>
        </w:rPr>
        <w:t>万元，占</w:t>
      </w:r>
      <w:r>
        <w:rPr>
          <w:rFonts w:hint="eastAsia" w:ascii="宋体" w:hAnsi="宋体" w:eastAsia="宋体" w:cs="宋体"/>
          <w:szCs w:val="32"/>
          <w:lang w:val="en-US" w:eastAsia="zh-CN"/>
        </w:rPr>
        <w:t>3.35</w:t>
      </w:r>
      <w:r>
        <w:rPr>
          <w:rFonts w:hint="eastAsia" w:ascii="宋体" w:hAnsi="宋体" w:eastAsia="宋体" w:cs="宋体"/>
          <w:szCs w:val="32"/>
        </w:rPr>
        <w:t>%，主要用于医保缴费支出。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住房保障（类）支出</w:t>
      </w:r>
      <w:r>
        <w:rPr>
          <w:rFonts w:hint="eastAsia" w:ascii="宋体" w:hAnsi="宋体" w:eastAsia="宋体" w:cs="宋体"/>
          <w:szCs w:val="32"/>
          <w:lang w:val="en-US" w:eastAsia="zh-CN"/>
        </w:rPr>
        <w:t>21.48</w:t>
      </w:r>
      <w:r>
        <w:rPr>
          <w:rFonts w:hint="eastAsia" w:ascii="宋体" w:hAnsi="宋体" w:eastAsia="宋体" w:cs="宋体"/>
          <w:szCs w:val="32"/>
        </w:rPr>
        <w:t>万元，占</w:t>
      </w:r>
      <w:r>
        <w:rPr>
          <w:rFonts w:hint="eastAsia" w:ascii="宋体" w:hAnsi="宋体" w:eastAsia="宋体" w:cs="宋体"/>
          <w:szCs w:val="32"/>
          <w:lang w:val="en-US" w:eastAsia="zh-CN"/>
        </w:rPr>
        <w:t>5.67</w:t>
      </w:r>
      <w:r>
        <w:rPr>
          <w:rFonts w:hint="eastAsia" w:ascii="宋体" w:hAnsi="宋体" w:eastAsia="宋体" w:cs="宋体"/>
          <w:szCs w:val="32"/>
        </w:rPr>
        <w:t>%，主要用于住房公积金缴费支出。</w:t>
      </w:r>
    </w:p>
    <w:p>
      <w:pPr>
        <w:spacing w:line="52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六、202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年一般公共预算基本支出情况</w:t>
      </w:r>
    </w:p>
    <w:p>
      <w:pPr>
        <w:ind w:firstLine="64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年一般公共预算基本支出</w:t>
      </w:r>
      <w:r>
        <w:rPr>
          <w:rFonts w:hint="eastAsia" w:ascii="宋体" w:hAnsi="宋体" w:eastAsia="宋体" w:cs="宋体"/>
          <w:color w:val="000000" w:themeColor="text1"/>
          <w:szCs w:val="32"/>
          <w:lang w:val="en-US" w:eastAsia="zh-CN"/>
          <w14:textFill>
            <w14:solidFill>
              <w14:schemeClr w14:val="tx1"/>
            </w14:solidFill>
          </w14:textFill>
        </w:rPr>
        <w:t>378.84</w:t>
      </w:r>
      <w:r>
        <w:rPr>
          <w:rFonts w:hint="eastAsia" w:ascii="宋体" w:hAnsi="宋体" w:eastAsia="宋体" w:cs="宋体"/>
          <w:color w:val="000000" w:themeColor="text1"/>
          <w:szCs w:val="32"/>
          <w14:textFill>
            <w14:solidFill>
              <w14:schemeClr w14:val="tx1"/>
            </w14:solidFill>
          </w14:textFill>
        </w:rPr>
        <w:t>万元，其中：</w:t>
      </w:r>
    </w:p>
    <w:p>
      <w:pPr>
        <w:ind w:firstLine="640" w:firstLineChars="200"/>
        <w:rPr>
          <w:rFonts w:hint="eastAsia"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人员经费</w:t>
      </w:r>
      <w:r>
        <w:rPr>
          <w:rFonts w:hint="eastAsia" w:ascii="宋体" w:hAnsi="宋体" w:eastAsia="宋体" w:cs="宋体"/>
          <w:color w:val="000000" w:themeColor="text1"/>
          <w:szCs w:val="32"/>
          <w:lang w:val="en-US" w:eastAsia="zh-CN"/>
          <w14:textFill>
            <w14:solidFill>
              <w14:schemeClr w14:val="tx1"/>
            </w14:solidFill>
          </w14:textFill>
        </w:rPr>
        <w:t>245.82</w:t>
      </w:r>
      <w:r>
        <w:rPr>
          <w:rFonts w:hint="eastAsia" w:ascii="宋体" w:hAnsi="宋体" w:eastAsia="宋体" w:cs="宋体"/>
          <w:color w:val="000000" w:themeColor="text1"/>
          <w:szCs w:val="32"/>
          <w14:textFill>
            <w14:solidFill>
              <w14:schemeClr w14:val="tx1"/>
            </w14:solidFill>
          </w14:textFill>
        </w:rPr>
        <w:t>万元，主要包括：</w:t>
      </w:r>
      <w:r>
        <w:rPr>
          <w:rFonts w:hint="eastAsia" w:ascii="宋体" w:hAnsi="宋体" w:eastAsia="宋体" w:cs="宋体"/>
          <w:color w:val="000000" w:themeColor="text1"/>
          <w:kern w:val="0"/>
          <w:szCs w:val="32"/>
          <w14:textFill>
            <w14:solidFill>
              <w14:schemeClr w14:val="tx1"/>
            </w14:solidFill>
          </w14:textFill>
        </w:rPr>
        <w:t>基本工资、津贴补贴</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奖金</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社会保障缴费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其他工资福利支出</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离休费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退休费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抚恤金</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生活补助</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助学金</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住房公积金</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采暖补贴</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其他对个人和家庭的补助支出。</w:t>
      </w: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公用经费</w:t>
      </w:r>
      <w:r>
        <w:rPr>
          <w:rFonts w:hint="eastAsia" w:ascii="宋体" w:hAnsi="宋体" w:eastAsia="宋体" w:cs="宋体"/>
          <w:color w:val="000000" w:themeColor="text1"/>
          <w:szCs w:val="32"/>
          <w:lang w:val="en-US" w:eastAsia="zh-CN"/>
          <w14:textFill>
            <w14:solidFill>
              <w14:schemeClr w14:val="tx1"/>
            </w14:solidFill>
          </w14:textFill>
        </w:rPr>
        <w:t>133.02</w:t>
      </w:r>
      <w:r>
        <w:rPr>
          <w:rFonts w:hint="eastAsia" w:ascii="宋体" w:hAnsi="宋体" w:eastAsia="宋体" w:cs="宋体"/>
          <w:color w:val="000000" w:themeColor="text1"/>
          <w:szCs w:val="32"/>
          <w14:textFill>
            <w14:solidFill>
              <w14:schemeClr w14:val="tx1"/>
            </w14:solidFill>
          </w14:textFill>
        </w:rPr>
        <w:t>万元，主要包括：</w:t>
      </w:r>
      <w:r>
        <w:rPr>
          <w:rFonts w:hint="eastAsia" w:ascii="宋体" w:hAnsi="宋体" w:eastAsia="宋体" w:cs="宋体"/>
          <w:color w:val="000000" w:themeColor="text1"/>
          <w:kern w:val="0"/>
          <w:szCs w:val="32"/>
          <w14:textFill>
            <w14:solidFill>
              <w14:schemeClr w14:val="tx1"/>
            </w14:solidFill>
          </w14:textFill>
        </w:rPr>
        <w:t>办公费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印刷费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水费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电费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邮电费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取暖费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物业管理费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差旅费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维修（护）费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会议费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培训费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公务接待费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工会经费、福利费</w:t>
      </w:r>
      <w:r>
        <w:rPr>
          <w:rFonts w:hint="eastAsia" w:ascii="宋体" w:hAnsi="宋体" w:eastAsia="宋体" w:cs="宋体"/>
          <w:color w:val="000000" w:themeColor="text1"/>
          <w:szCs w:val="32"/>
          <w14:textFill>
            <w14:solidFill>
              <w14:schemeClr w14:val="tx1"/>
            </w14:solidFill>
          </w14:textFill>
        </w:rPr>
        <w:t>、公</w:t>
      </w:r>
      <w:r>
        <w:rPr>
          <w:rFonts w:hint="eastAsia" w:ascii="宋体" w:hAnsi="宋体" w:eastAsia="宋体" w:cs="宋体"/>
          <w:color w:val="000000" w:themeColor="text1"/>
          <w:kern w:val="0"/>
          <w:szCs w:val="32"/>
          <w14:textFill>
            <w14:solidFill>
              <w14:schemeClr w14:val="tx1"/>
            </w14:solidFill>
          </w14:textFill>
        </w:rPr>
        <w:t>务用车运行维护费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其他交通补助</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其他商品和服务支出。</w:t>
      </w:r>
    </w:p>
    <w:p>
      <w:pPr>
        <w:ind w:firstLine="640" w:firstLineChars="200"/>
        <w:rPr>
          <w:rFonts w:hint="eastAsia" w:ascii="宋体" w:hAnsi="宋体" w:eastAsia="宋体" w:cs="宋体"/>
          <w:color w:val="000000" w:themeColor="text1"/>
          <w:szCs w:val="30"/>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t>七、202</w:t>
      </w:r>
      <w:r>
        <w:rPr>
          <w:rFonts w:hint="eastAsia" w:ascii="宋体" w:hAnsi="宋体" w:eastAsia="宋体" w:cs="宋体"/>
          <w:color w:val="000000" w:themeColor="text1"/>
          <w:szCs w:val="30"/>
          <w:lang w:val="en-US" w:eastAsia="zh-CN"/>
          <w14:textFill>
            <w14:solidFill>
              <w14:schemeClr w14:val="tx1"/>
            </w14:solidFill>
          </w14:textFill>
        </w:rPr>
        <w:t>4</w:t>
      </w:r>
      <w:r>
        <w:rPr>
          <w:rFonts w:hint="eastAsia" w:ascii="宋体" w:hAnsi="宋体" w:eastAsia="宋体" w:cs="宋体"/>
          <w:color w:val="000000" w:themeColor="text1"/>
          <w:szCs w:val="30"/>
          <w14:textFill>
            <w14:solidFill>
              <w14:schemeClr w14:val="tx1"/>
            </w14:solidFill>
          </w14:textFill>
        </w:rPr>
        <w:t>年一般公共预算财政拨款“三公”经费情况</w:t>
      </w: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年“三公”经费预算数为</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w:t>
      </w:r>
      <w:r>
        <w:rPr>
          <w:rFonts w:hint="eastAsia" w:ascii="宋体" w:hAnsi="宋体" w:eastAsia="宋体" w:cs="宋体"/>
          <w:color w:val="000000" w:themeColor="text1"/>
          <w:szCs w:val="32"/>
          <w:lang w:val="en-US" w:eastAsia="zh-CN"/>
          <w14:textFill>
            <w14:solidFill>
              <w14:schemeClr w14:val="tx1"/>
            </w14:solidFill>
          </w14:textFill>
        </w:rPr>
        <w:t>:</w:t>
      </w:r>
      <w:r>
        <w:rPr>
          <w:rFonts w:hint="eastAsia" w:ascii="宋体" w:hAnsi="宋体" w:eastAsia="宋体" w:cs="宋体"/>
          <w:color w:val="000000" w:themeColor="text1"/>
          <w:szCs w:val="32"/>
          <w:lang w:eastAsia="zh-CN"/>
          <w14:textFill>
            <w14:solidFill>
              <w14:schemeClr w14:val="tx1"/>
            </w14:solidFill>
          </w14:textFill>
        </w:rPr>
        <w:t>当年预算</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。其中：</w:t>
      </w:r>
    </w:p>
    <w:p>
      <w:pPr>
        <w:ind w:firstLine="640" w:firstLineChars="200"/>
        <w:jc w:val="both"/>
        <w:rPr>
          <w:rFonts w:hint="eastAsia" w:ascii="宋体" w:hAnsi="宋体" w:eastAsia="宋体" w:cs="宋体"/>
          <w:color w:val="000000" w:themeColor="text1"/>
          <w:szCs w:val="32"/>
          <w:lang w:val="en-US" w:eastAsia="zh-CN"/>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1.因公出国（境）费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lang w:eastAsia="zh-CN"/>
          <w14:textFill>
            <w14:solidFill>
              <w14:schemeClr w14:val="tx1"/>
            </w14:solidFill>
          </w14:textFill>
        </w:rPr>
        <w:t>。</w:t>
      </w:r>
    </w:p>
    <w:p>
      <w:pPr>
        <w:ind w:firstLine="640" w:firstLineChars="200"/>
        <w:rPr>
          <w:rFonts w:hint="eastAsia" w:ascii="宋体" w:hAnsi="宋体" w:eastAsia="宋体" w:cs="宋体"/>
          <w:color w:val="000000" w:themeColor="text1"/>
          <w:szCs w:val="32"/>
          <w:lang w:eastAsia="zh-CN"/>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2.公务接待费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lang w:eastAsia="zh-CN"/>
          <w14:textFill>
            <w14:solidFill>
              <w14:schemeClr w14:val="tx1"/>
            </w14:solidFill>
          </w14:textFill>
        </w:rPr>
        <w:t>。</w:t>
      </w: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3.公务用车购置及运行费</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。公务用车运行维护费</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；公务用车购置费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w:t>
      </w: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八、202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年政府性基金预算支出情况</w:t>
      </w:r>
    </w:p>
    <w:p>
      <w:pPr>
        <w:ind w:firstLine="640"/>
        <w:rPr>
          <w:rFonts w:hint="eastAsia" w:ascii="宋体" w:hAnsi="宋体" w:eastAsia="宋体" w:cs="宋体"/>
          <w:szCs w:val="32"/>
        </w:rPr>
      </w:pP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年政府性基金预算支出</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万元，其中：基本</w:t>
      </w:r>
      <w:r>
        <w:rPr>
          <w:rFonts w:hint="eastAsia" w:ascii="宋体" w:hAnsi="宋体" w:eastAsia="宋体" w:cs="宋体"/>
          <w:szCs w:val="32"/>
        </w:rPr>
        <w:t>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%；项目支出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%。基本支出中，人员经费</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%；公用经费</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科学技术（类）支出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文化旅游体育与传媒（类）支出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社会保障和就业（类）支出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农林水支出（类）支出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firstLineChars="200"/>
        <w:rPr>
          <w:rFonts w:hint="eastAsia" w:ascii="宋体" w:hAnsi="宋体" w:eastAsia="宋体" w:cs="宋体"/>
          <w:szCs w:val="32"/>
        </w:rPr>
      </w:pPr>
      <w:r>
        <w:rPr>
          <w:rFonts w:hint="eastAsia" w:ascii="宋体" w:hAnsi="宋体" w:eastAsia="宋体" w:cs="宋体"/>
          <w:szCs w:val="32"/>
        </w:rPr>
        <w:t>九、202</w:t>
      </w:r>
      <w:r>
        <w:rPr>
          <w:rFonts w:hint="eastAsia" w:ascii="宋体" w:hAnsi="宋体" w:eastAsia="宋体" w:cs="宋体"/>
          <w:szCs w:val="32"/>
          <w:lang w:val="en-US" w:eastAsia="zh-CN"/>
        </w:rPr>
        <w:t>4</w:t>
      </w:r>
      <w:r>
        <w:rPr>
          <w:rFonts w:hint="eastAsia" w:ascii="宋体" w:hAnsi="宋体" w:eastAsia="宋体" w:cs="宋体"/>
          <w:szCs w:val="32"/>
        </w:rPr>
        <w:t>年国有资本经营预算支出情况</w:t>
      </w:r>
    </w:p>
    <w:p>
      <w:pPr>
        <w:ind w:firstLine="64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年国有资本经营预算支出</w:t>
      </w:r>
      <w:r>
        <w:rPr>
          <w:rFonts w:hint="eastAsia" w:ascii="宋体" w:hAnsi="宋体" w:eastAsia="宋体" w:cs="宋体"/>
          <w:szCs w:val="32"/>
          <w:lang w:val="en-US" w:eastAsia="zh-CN"/>
        </w:rPr>
        <w:t>0</w:t>
      </w:r>
      <w:r>
        <w:rPr>
          <w:rFonts w:hint="eastAsia" w:ascii="宋体" w:hAnsi="宋体" w:eastAsia="宋体" w:cs="宋体"/>
          <w:szCs w:val="32"/>
        </w:rPr>
        <w:t>万元，其中：基本支出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%；项目支出_</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解决历史遗留问题及改革（款）支出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国有企业资本金注入（款）支出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国有企业政策性补贴（款）支出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其他国有资本经营预算（款）支出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十、其他重要事项的说明情况</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szCs w:val="32"/>
        </w:rPr>
        <w:t>（</w:t>
      </w:r>
      <w:r>
        <w:rPr>
          <w:rFonts w:hint="eastAsia" w:ascii="宋体" w:hAnsi="宋体" w:eastAsia="宋体" w:cs="宋体"/>
          <w:color w:val="000000" w:themeColor="text1"/>
          <w:szCs w:val="32"/>
          <w14:textFill>
            <w14:solidFill>
              <w14:schemeClr w14:val="tx1"/>
            </w14:solidFill>
          </w14:textFill>
        </w:rPr>
        <w:t>一）机关运行经费</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年部门本级</w:t>
      </w:r>
      <w:r>
        <w:rPr>
          <w:rFonts w:hint="eastAsia" w:ascii="宋体" w:hAnsi="宋体" w:eastAsia="宋体" w:cs="宋体"/>
          <w:color w:val="000000" w:themeColor="text1"/>
          <w:szCs w:val="32"/>
          <w:lang w:val="en-US" w:eastAsia="zh-CN"/>
          <w14:textFill>
            <w14:solidFill>
              <w14:schemeClr w14:val="tx1"/>
            </w14:solidFill>
          </w14:textFill>
        </w:rPr>
        <w:t>1</w:t>
      </w:r>
      <w:r>
        <w:rPr>
          <w:rFonts w:hint="eastAsia" w:ascii="宋体" w:hAnsi="宋体" w:eastAsia="宋体" w:cs="宋体"/>
          <w:color w:val="000000" w:themeColor="text1"/>
          <w:szCs w:val="32"/>
          <w14:textFill>
            <w14:solidFill>
              <w14:schemeClr w14:val="tx1"/>
            </w14:solidFill>
          </w14:textFill>
        </w:rPr>
        <w:t>家行政单位</w:t>
      </w:r>
      <w:r>
        <w:rPr>
          <w:rFonts w:hint="eastAsia" w:ascii="宋体" w:hAnsi="宋体" w:eastAsia="宋体" w:cs="宋体"/>
          <w:color w:val="000000" w:themeColor="text1"/>
          <w:szCs w:val="32"/>
          <w:lang w:val="en-US" w:eastAsia="zh-CN"/>
          <w14:textFill>
            <w14:solidFill>
              <w14:schemeClr w14:val="tx1"/>
            </w14:solidFill>
          </w14:textFill>
        </w:rPr>
        <w:t>(或参公管理事业单位或事业单位）</w:t>
      </w:r>
      <w:r>
        <w:rPr>
          <w:rFonts w:hint="eastAsia" w:ascii="宋体" w:hAnsi="宋体" w:eastAsia="宋体" w:cs="宋体"/>
          <w:color w:val="000000" w:themeColor="text1"/>
          <w:szCs w:val="32"/>
          <w14:textFill>
            <w14:solidFill>
              <w14:schemeClr w14:val="tx1"/>
            </w14:solidFill>
          </w14:textFill>
        </w:rPr>
        <w:t>的机关运行经费财政拨款预算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和</w:t>
      </w: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（二）政府采购情况</w:t>
      </w:r>
    </w:p>
    <w:p>
      <w:pPr>
        <w:spacing w:line="540" w:lineRule="exact"/>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lang w:eastAsia="zh-CN"/>
          <w14:textFill>
            <w14:solidFill>
              <w14:schemeClr w14:val="tx1"/>
            </w14:solidFill>
          </w14:textFill>
        </w:rPr>
        <w:t>　　</w:t>
      </w: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年政府采购预算总额</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万元，其中：政府采购货物预算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万元、政府采购工程预算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万元、政府采购服务预算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（三）国有资产占有使用情况</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截至202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年8月底，部门本级和所属各预算单位共有车辆</w:t>
      </w:r>
      <w:r>
        <w:rPr>
          <w:rFonts w:hint="eastAsia" w:ascii="宋体" w:hAnsi="宋体" w:eastAsia="宋体" w:cs="宋体"/>
          <w:color w:val="000000" w:themeColor="text1"/>
          <w:szCs w:val="32"/>
          <w:lang w:val="en-US" w:eastAsia="zh-CN"/>
          <w14:textFill>
            <w14:solidFill>
              <w14:schemeClr w14:val="tx1"/>
            </w14:solidFill>
          </w14:textFill>
        </w:rPr>
        <w:t>1</w:t>
      </w:r>
      <w:r>
        <w:rPr>
          <w:rFonts w:hint="eastAsia" w:ascii="宋体" w:hAnsi="宋体" w:eastAsia="宋体" w:cs="宋体"/>
          <w:color w:val="000000" w:themeColor="text1"/>
          <w:szCs w:val="32"/>
          <w14:textFill>
            <w14:solidFill>
              <w14:schemeClr w14:val="tx1"/>
            </w14:solidFill>
          </w14:textFill>
        </w:rPr>
        <w:t>辆，土地</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平方米，房屋</w:t>
      </w:r>
      <w:r>
        <w:rPr>
          <w:rFonts w:hint="eastAsia" w:ascii="宋体" w:hAnsi="宋体" w:eastAsia="宋体" w:cs="宋体"/>
          <w:color w:val="000000" w:themeColor="text1"/>
          <w:szCs w:val="32"/>
          <w:lang w:val="en-US" w:eastAsia="zh-CN"/>
          <w14:textFill>
            <w14:solidFill>
              <w14:schemeClr w14:val="tx1"/>
            </w14:solidFill>
          </w14:textFill>
        </w:rPr>
        <w:t>2100</w:t>
      </w:r>
      <w:r>
        <w:rPr>
          <w:rFonts w:hint="eastAsia" w:ascii="宋体" w:hAnsi="宋体" w:eastAsia="宋体" w:cs="宋体"/>
          <w:color w:val="000000" w:themeColor="text1"/>
          <w:szCs w:val="32"/>
          <w14:textFill>
            <w14:solidFill>
              <w14:schemeClr w14:val="tx1"/>
            </w14:solidFill>
          </w14:textFill>
        </w:rPr>
        <w:t>平方米，单价50万元及以上的通用设备</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台/套，单价100万元及以上的专用设备实有数</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台/套。</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年部门预算安排购置车辆</w:t>
      </w:r>
      <w:r>
        <w:rPr>
          <w:rFonts w:hint="eastAsia" w:ascii="宋体" w:hAnsi="宋体" w:eastAsia="宋体" w:cs="宋体"/>
          <w:szCs w:val="32"/>
          <w:lang w:val="en-US" w:eastAsia="zh-CN"/>
        </w:rPr>
        <w:t>0</w:t>
      </w:r>
      <w:r>
        <w:rPr>
          <w:rFonts w:hint="eastAsia" w:ascii="宋体" w:hAnsi="宋体" w:eastAsia="宋体" w:cs="宋体"/>
          <w:szCs w:val="32"/>
        </w:rPr>
        <w:t>辆，安排购置土地</w:t>
      </w:r>
      <w:r>
        <w:rPr>
          <w:rFonts w:hint="eastAsia" w:ascii="宋体" w:hAnsi="宋体" w:eastAsia="宋体" w:cs="宋体"/>
          <w:szCs w:val="32"/>
          <w:lang w:val="en-US" w:eastAsia="zh-CN"/>
        </w:rPr>
        <w:t>0</w:t>
      </w:r>
      <w:r>
        <w:rPr>
          <w:rFonts w:hint="eastAsia" w:ascii="宋体" w:hAnsi="宋体" w:eastAsia="宋体" w:cs="宋体"/>
          <w:szCs w:val="32"/>
        </w:rPr>
        <w:t>平方米，安排购置房屋</w:t>
      </w:r>
      <w:r>
        <w:rPr>
          <w:rFonts w:hint="eastAsia" w:ascii="宋体" w:hAnsi="宋体" w:eastAsia="宋体" w:cs="宋体"/>
          <w:szCs w:val="32"/>
          <w:lang w:val="en-US" w:eastAsia="zh-CN"/>
        </w:rPr>
        <w:t>0</w:t>
      </w:r>
      <w:r>
        <w:rPr>
          <w:rFonts w:hint="eastAsia" w:ascii="宋体" w:hAnsi="宋体" w:eastAsia="宋体" w:cs="宋体"/>
          <w:szCs w:val="32"/>
        </w:rPr>
        <w:t>平方米，计划新增单价50万元及以上的通用设备</w:t>
      </w:r>
      <w:r>
        <w:rPr>
          <w:rFonts w:hint="eastAsia" w:ascii="宋体" w:hAnsi="宋体" w:eastAsia="宋体" w:cs="宋体"/>
          <w:szCs w:val="32"/>
          <w:lang w:val="en-US" w:eastAsia="zh-CN"/>
        </w:rPr>
        <w:t>0</w:t>
      </w:r>
      <w:r>
        <w:rPr>
          <w:rFonts w:hint="eastAsia" w:ascii="宋体" w:hAnsi="宋体" w:eastAsia="宋体" w:cs="宋体"/>
          <w:szCs w:val="32"/>
        </w:rPr>
        <w:t>台/套，计划新增单价100万元及以上的专用设备实有数</w:t>
      </w:r>
      <w:r>
        <w:rPr>
          <w:rFonts w:hint="eastAsia" w:ascii="宋体" w:hAnsi="宋体" w:eastAsia="宋体" w:cs="宋体"/>
          <w:szCs w:val="32"/>
          <w:lang w:val="en-US" w:eastAsia="zh-CN"/>
        </w:rPr>
        <w:t>0</w:t>
      </w:r>
      <w:r>
        <w:rPr>
          <w:rFonts w:hint="eastAsia" w:ascii="宋体" w:hAnsi="宋体" w:eastAsia="宋体" w:cs="宋体"/>
          <w:szCs w:val="32"/>
        </w:rPr>
        <w:t>台/套。</w:t>
      </w:r>
    </w:p>
    <w:p>
      <w:pPr>
        <w:numPr>
          <w:ilvl w:val="0"/>
          <w:numId w:val="1"/>
        </w:numPr>
        <w:spacing w:line="540" w:lineRule="exact"/>
        <w:ind w:firstLine="640" w:firstLineChars="200"/>
        <w:rPr>
          <w:rFonts w:hint="eastAsia" w:ascii="宋体" w:hAnsi="宋体" w:eastAsia="宋体" w:cs="宋体"/>
          <w:szCs w:val="32"/>
        </w:rPr>
      </w:pPr>
      <w:r>
        <w:rPr>
          <w:rFonts w:hint="eastAsia" w:ascii="宋体" w:hAnsi="宋体" w:eastAsia="宋体" w:cs="宋体"/>
          <w:szCs w:val="32"/>
        </w:rPr>
        <w:t>项目支出情况说明</w:t>
      </w:r>
    </w:p>
    <w:p>
      <w:pPr>
        <w:spacing w:line="540" w:lineRule="exact"/>
        <w:ind w:firstLine="640" w:firstLineChars="200"/>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4</w:t>
      </w:r>
      <w:r>
        <w:rPr>
          <w:rFonts w:hint="eastAsia" w:ascii="宋体" w:hAnsi="宋体" w:eastAsia="宋体" w:cs="宋体"/>
        </w:rPr>
        <w:t>年部门项目支出</w:t>
      </w:r>
      <w:r>
        <w:rPr>
          <w:rFonts w:hint="eastAsia" w:ascii="宋体" w:hAnsi="宋体" w:eastAsia="宋体" w:cs="宋体"/>
          <w:szCs w:val="32"/>
          <w:lang w:val="en-US" w:eastAsia="zh-CN"/>
        </w:rPr>
        <w:t>0</w:t>
      </w:r>
      <w:r>
        <w:rPr>
          <w:rFonts w:hint="eastAsia" w:ascii="宋体" w:hAnsi="宋体" w:eastAsia="宋体" w:cs="宋体"/>
          <w:szCs w:val="32"/>
        </w:rPr>
        <w:t>万元，其中：一级项目</w:t>
      </w:r>
      <w:r>
        <w:rPr>
          <w:rFonts w:hint="eastAsia" w:ascii="宋体" w:hAnsi="宋体" w:eastAsia="宋体" w:cs="宋体"/>
          <w:szCs w:val="32"/>
          <w:lang w:val="en-US" w:eastAsia="zh-CN"/>
        </w:rPr>
        <w:t>0</w:t>
      </w:r>
      <w:r>
        <w:rPr>
          <w:rFonts w:hint="eastAsia" w:ascii="宋体" w:hAnsi="宋体" w:eastAsia="宋体" w:cs="宋体"/>
          <w:szCs w:val="32"/>
        </w:rPr>
        <w:t>个，二级项目</w:t>
      </w:r>
      <w:r>
        <w:rPr>
          <w:rFonts w:hint="eastAsia" w:ascii="宋体" w:hAnsi="宋体" w:eastAsia="宋体" w:cs="宋体"/>
          <w:szCs w:val="32"/>
          <w:lang w:val="en-US" w:eastAsia="zh-CN"/>
        </w:rPr>
        <w:t>0</w:t>
      </w:r>
      <w:r>
        <w:rPr>
          <w:rFonts w:hint="eastAsia" w:ascii="宋体" w:hAnsi="宋体" w:eastAsia="宋体" w:cs="宋体"/>
          <w:szCs w:val="32"/>
        </w:rPr>
        <w:t>个；使用本年拨款</w:t>
      </w:r>
      <w:r>
        <w:rPr>
          <w:rFonts w:hint="eastAsia" w:ascii="宋体" w:hAnsi="宋体" w:eastAsia="宋体" w:cs="宋体"/>
          <w:szCs w:val="32"/>
          <w:lang w:val="en-US" w:eastAsia="zh-CN"/>
        </w:rPr>
        <w:t>0</w:t>
      </w:r>
      <w:r>
        <w:rPr>
          <w:rFonts w:hint="eastAsia" w:ascii="宋体" w:hAnsi="宋体" w:eastAsia="宋体" w:cs="宋体"/>
          <w:szCs w:val="32"/>
        </w:rPr>
        <w:t>万元，财政拨款结转</w:t>
      </w:r>
      <w:r>
        <w:rPr>
          <w:rFonts w:hint="eastAsia" w:ascii="宋体" w:hAnsi="宋体" w:eastAsia="宋体" w:cs="宋体"/>
          <w:szCs w:val="32"/>
          <w:lang w:val="en-US" w:eastAsia="zh-CN"/>
        </w:rPr>
        <w:t>0</w:t>
      </w:r>
      <w:r>
        <w:rPr>
          <w:rFonts w:hint="eastAsia" w:ascii="宋体" w:hAnsi="宋体" w:eastAsia="宋体" w:cs="宋体"/>
          <w:szCs w:val="32"/>
        </w:rPr>
        <w:t>万元。</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rPr>
        <w:t>（五）项目支出绩效目标情况说明</w:t>
      </w:r>
    </w:p>
    <w:p>
      <w:pPr>
        <w:ind w:firstLine="645"/>
        <w:rPr>
          <w:rFonts w:hint="eastAsia" w:ascii="宋体" w:hAnsi="宋体" w:eastAsia="宋体" w:cs="宋体"/>
          <w:szCs w:val="32"/>
        </w:rPr>
      </w:pPr>
      <w:r>
        <w:rPr>
          <w:rFonts w:hint="eastAsia" w:ascii="宋体" w:hAnsi="宋体" w:eastAsia="宋体" w:cs="宋体"/>
        </w:rPr>
        <w:t>按照全面实施预算绩效管理的要求，结合本部门职能和重点工作，202</w:t>
      </w:r>
      <w:r>
        <w:rPr>
          <w:rFonts w:hint="eastAsia" w:ascii="宋体" w:hAnsi="宋体" w:eastAsia="宋体" w:cs="宋体"/>
          <w:lang w:val="en-US" w:eastAsia="zh-CN"/>
        </w:rPr>
        <w:t>4</w:t>
      </w:r>
      <w:r>
        <w:rPr>
          <w:rFonts w:hint="eastAsia" w:ascii="宋体" w:hAnsi="宋体" w:eastAsia="宋体" w:cs="宋体"/>
        </w:rPr>
        <w:t>年确定</w:t>
      </w:r>
      <w:r>
        <w:rPr>
          <w:rFonts w:hint="eastAsia" w:ascii="宋体" w:hAnsi="宋体" w:eastAsia="宋体" w:cs="宋体"/>
          <w:szCs w:val="32"/>
          <w:lang w:val="en-US" w:eastAsia="zh-CN"/>
        </w:rPr>
        <w:t>0</w:t>
      </w:r>
      <w:r>
        <w:rPr>
          <w:rFonts w:hint="eastAsia" w:ascii="宋体" w:hAnsi="宋体" w:eastAsia="宋体" w:cs="宋体"/>
        </w:rPr>
        <w:t>个一级项目支出的绩效目标和指标向社会公开，涉及金额</w:t>
      </w:r>
      <w:r>
        <w:rPr>
          <w:rFonts w:hint="eastAsia" w:ascii="宋体" w:hAnsi="宋体" w:eastAsia="宋体" w:cs="宋体"/>
          <w:szCs w:val="32"/>
          <w:lang w:val="en-US" w:eastAsia="zh-CN"/>
        </w:rPr>
        <w:t>0</w:t>
      </w:r>
      <w:r>
        <w:rPr>
          <w:rFonts w:hint="eastAsia" w:ascii="宋体" w:hAnsi="宋体" w:eastAsia="宋体" w:cs="宋体"/>
        </w:rPr>
        <w:t>万元。</w:t>
      </w:r>
    </w:p>
    <w:p>
      <w:pPr>
        <w:ind w:firstLine="640" w:firstLineChars="200"/>
        <w:jc w:val="center"/>
        <w:rPr>
          <w:rFonts w:eastAsia="黑体"/>
        </w:rPr>
      </w:pPr>
    </w:p>
    <w:p>
      <w:pPr>
        <w:ind w:firstLine="640" w:firstLineChars="200"/>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指未纳入预算并实行财政专户管理的资金收入。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
          <w:szCs w:val="32"/>
        </w:rPr>
      </w:pPr>
      <w:r>
        <w:rPr>
          <w:rFonts w:eastAsia="楷体"/>
          <w:szCs w:val="32"/>
        </w:rPr>
        <w:t>（</w:t>
      </w:r>
      <w:r>
        <w:rPr>
          <w:rFonts w:hint="eastAsia" w:eastAsia="楷体"/>
          <w:szCs w:val="32"/>
        </w:rPr>
        <w:t>九</w:t>
      </w:r>
      <w:r>
        <w:rPr>
          <w:rFonts w:eastAsia="楷体"/>
          <w:szCs w:val="32"/>
        </w:rPr>
        <w:t>）其他收入：</w:t>
      </w:r>
      <w:r>
        <w:rPr>
          <w:szCs w:val="32"/>
        </w:rPr>
        <w:t>指除上述“一般公共预算拨款收入”、</w:t>
      </w:r>
      <w:r>
        <w:rPr>
          <w:rFonts w:hint="eastAsia"/>
          <w:szCs w:val="32"/>
        </w:rPr>
        <w:t>“政府性基金预算拨款收入”、</w:t>
      </w:r>
      <w:r>
        <w:rPr>
          <w:szCs w:val="32"/>
        </w:rPr>
        <w:t>“事业收入”、“事业单位经营收入”等以外的收入。</w:t>
      </w:r>
    </w:p>
    <w:p>
      <w:pPr>
        <w:ind w:firstLine="640"/>
        <w:rPr>
          <w:szCs w:val="32"/>
        </w:rPr>
      </w:pPr>
      <w:r>
        <w:rPr>
          <w:rFonts w:eastAsia="楷体"/>
          <w:szCs w:val="32"/>
        </w:rPr>
        <w:t>（</w:t>
      </w:r>
      <w:r>
        <w:rPr>
          <w:rFonts w:hint="eastAsia" w:eastAsia="楷体"/>
          <w:szCs w:val="32"/>
        </w:rPr>
        <w:t>十</w:t>
      </w:r>
      <w:r>
        <w:rPr>
          <w:rFonts w:eastAsia="楷体"/>
          <w:szCs w:val="32"/>
        </w:rPr>
        <w:t>）用事业基金弥补收支差额：</w:t>
      </w:r>
      <w:r>
        <w:rPr>
          <w:szCs w:val="32"/>
        </w:rPr>
        <w:t>指事业单位在预计当年的“一般公共预算拨款收入”、</w:t>
      </w:r>
      <w:r>
        <w:rPr>
          <w:rFonts w:hint="eastAsia"/>
          <w:szCs w:val="32"/>
        </w:rPr>
        <w:t>“政府性基金预算拨款收入”、</w:t>
      </w:r>
      <w:r>
        <w:rPr>
          <w:szCs w:val="32"/>
        </w:rPr>
        <w:t>“事业收入”、“事业单位经营收入”、“其他收入”不足以安排当年支出的情况下，使用以前年度积累的事业基金（事业单位当年收支相抵后按国家规定提取、用于弥补以后年度收支差额的基金）弥补本年度收支缺口的资金。</w:t>
      </w:r>
    </w:p>
    <w:p>
      <w:pPr>
        <w:ind w:firstLine="640"/>
        <w:rPr>
          <w:szCs w:val="32"/>
        </w:rPr>
      </w:pPr>
      <w:r>
        <w:rPr>
          <w:rFonts w:eastAsia="楷体"/>
          <w:szCs w:val="32"/>
        </w:rPr>
        <w:t>（十</w:t>
      </w:r>
      <w:r>
        <w:rPr>
          <w:rFonts w:hint="eastAsia" w:eastAsia="楷体"/>
          <w:szCs w:val="32"/>
        </w:rPr>
        <w:t>一</w:t>
      </w:r>
      <w:r>
        <w:rPr>
          <w:rFonts w:eastAsia="楷体"/>
          <w:szCs w:val="32"/>
        </w:rPr>
        <w:t>）上年结转：</w:t>
      </w:r>
      <w:r>
        <w:rPr>
          <w:szCs w:val="32"/>
        </w:rPr>
        <w:t>指以前年度尚未完成、结转到本年仍按原规定用途继续使用的资金。</w:t>
      </w:r>
    </w:p>
    <w:p>
      <w:pPr>
        <w:ind w:firstLine="640"/>
        <w:rPr>
          <w:szCs w:val="32"/>
        </w:rPr>
      </w:pPr>
      <w:r>
        <w:rPr>
          <w:rFonts w:eastAsia="楷体"/>
          <w:szCs w:val="32"/>
        </w:rPr>
        <w:t>（十二）结转下年：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（十三）基本支出：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四</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五</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六</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七</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八</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九</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二十</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headerReference r:id="rId3" w:type="default"/>
      <w:footerReference r:id="rId5" w:type="default"/>
      <w:headerReference r:id="rId4" w:type="even"/>
      <w:footerReference r:id="rId6" w:type="even"/>
      <w:type w:val="evenPage"/>
      <w:pgSz w:w="11907" w:h="16840"/>
      <w:pgMar w:top="2041" w:right="1588" w:bottom="2041" w:left="1588" w:header="851" w:footer="1588" w:gutter="0"/>
      <w:pgNumType w:start="0"/>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372" w:y="-73"/>
      <w:rPr>
        <w:rStyle w:val="11"/>
        <w:sz w:val="28"/>
      </w:rPr>
    </w:pPr>
    <w:r>
      <w:rPr>
        <w:rStyle w:val="11"/>
        <w:rFonts w:hint="eastAsia"/>
        <w:sz w:val="28"/>
      </w:rPr>
      <w:t>—</w:t>
    </w:r>
    <w:r>
      <w:rPr>
        <w:sz w:val="28"/>
      </w:rPr>
      <w:fldChar w:fldCharType="begin"/>
    </w:r>
    <w:r>
      <w:rPr>
        <w:rStyle w:val="11"/>
        <w:sz w:val="28"/>
      </w:rPr>
      <w:instrText xml:space="preserve">PAGE  </w:instrText>
    </w:r>
    <w:r>
      <w:rPr>
        <w:sz w:val="28"/>
      </w:rPr>
      <w:fldChar w:fldCharType="separate"/>
    </w:r>
    <w:r>
      <w:rPr>
        <w:rStyle w:val="11"/>
        <w:sz w:val="28"/>
      </w:rPr>
      <w:t>4</w:t>
    </w:r>
    <w:r>
      <w:rPr>
        <w:sz w:val="28"/>
      </w:rPr>
      <w:fldChar w:fldCharType="end"/>
    </w:r>
    <w:r>
      <w:rPr>
        <w:rStyle w:val="11"/>
        <w:rFonts w:hint="eastAsia"/>
        <w:sz w:val="28"/>
      </w:rPr>
      <w:t>—</w:t>
    </w:r>
  </w:p>
  <w:p>
    <w:pPr>
      <w:pStyle w:val="6"/>
      <w:framePr w:wrap="around" w:vAnchor="text" w:hAnchor="margin" w:xAlign="center" w:y="1"/>
      <w:ind w:right="360"/>
      <w:rPr>
        <w:rStyle w:val="11"/>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separate"/>
    </w:r>
    <w:r>
      <w:rPr>
        <w:rStyle w:val="11"/>
      </w:rPr>
      <w:t>0</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ZWQzMzE5MGY5YWM0YWFmNjk1MDQ2YjI0YzRiMTgifQ=="/>
  </w:docVars>
  <w:rsids>
    <w:rsidRoot w:val="00172A27"/>
    <w:rsid w:val="02571B1A"/>
    <w:rsid w:val="0BD47E6F"/>
    <w:rsid w:val="0D8E1017"/>
    <w:rsid w:val="15B171F7"/>
    <w:rsid w:val="390B43A8"/>
    <w:rsid w:val="3EB4159E"/>
    <w:rsid w:val="41023C5C"/>
    <w:rsid w:val="556B44AC"/>
    <w:rsid w:val="697059F9"/>
    <w:rsid w:val="744122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link w:val="10"/>
    <w:qFormat/>
    <w:uiPriority w:val="0"/>
    <w:rPr>
      <w:rFonts w:eastAsia="宋体"/>
      <w:sz w:val="21"/>
      <w:szCs w:val="20"/>
    </w:rPr>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3"/>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0">
    <w:name w:val=" Char"/>
    <w:basedOn w:val="1"/>
    <w:link w:val="9"/>
    <w:qFormat/>
    <w:uiPriority w:val="0"/>
    <w:pPr>
      <w:widowControl/>
      <w:spacing w:after="160" w:afterLines="0" w:line="240" w:lineRule="exact"/>
      <w:jc w:val="left"/>
    </w:pPr>
    <w:rPr>
      <w:rFonts w:eastAsia="宋体"/>
      <w:sz w:val="21"/>
      <w:szCs w:val="20"/>
    </w:rPr>
  </w:style>
  <w:style w:type="character" w:styleId="11">
    <w:name w:val="page number"/>
    <w:basedOn w:val="9"/>
    <w:qFormat/>
    <w:uiPriority w:val="0"/>
  </w:style>
  <w:style w:type="character" w:customStyle="1" w:styleId="13">
    <w:name w:val="批注框文本 字符"/>
    <w:link w:val="5"/>
    <w:qFormat/>
    <w:uiPriority w:val="0"/>
    <w:rPr>
      <w:rFonts w:eastAsia="仿宋_GB2312"/>
      <w:kern w:val="2"/>
      <w:sz w:val="18"/>
      <w:szCs w:val="18"/>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41"/>
    <w:qFormat/>
    <w:uiPriority w:val="0"/>
    <w:rPr>
      <w:rFonts w:hint="default" w:ascii="华文细黑" w:hAnsi="华文细黑" w:eastAsia="华文细黑" w:cs="华文细黑"/>
      <w:color w:val="000000"/>
      <w:sz w:val="20"/>
      <w:szCs w:val="20"/>
      <w:u w:val="none"/>
    </w:rPr>
  </w:style>
  <w:style w:type="character" w:customStyle="1" w:styleId="16">
    <w:name w:val="font01"/>
    <w:qFormat/>
    <w:uiPriority w:val="0"/>
    <w:rPr>
      <w:rFonts w:hint="default" w:ascii="Times New Roman" w:hAnsi="Times New Roman" w:cs="Times New Roman"/>
      <w:color w:val="000000"/>
      <w:sz w:val="24"/>
      <w:szCs w:val="24"/>
      <w:u w:val="none"/>
    </w:rPr>
  </w:style>
  <w:style w:type="character" w:customStyle="1" w:styleId="17">
    <w:name w:val="页脚 字符"/>
    <w:link w:val="6"/>
    <w:qFormat/>
    <w:uiPriority w:val="0"/>
    <w:rPr>
      <w:rFonts w:eastAsia="仿宋_GB2312"/>
      <w:kern w:val="2"/>
      <w:sz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font21"/>
    <w:qFormat/>
    <w:uiPriority w:val="0"/>
    <w:rPr>
      <w:rFonts w:hint="default" w:ascii="Arial" w:hAnsi="Arial" w:cs="Arial"/>
      <w:color w:val="000000"/>
      <w:sz w:val="20"/>
      <w:szCs w:val="20"/>
      <w:u w:val="none"/>
    </w:rPr>
  </w:style>
  <w:style w:type="paragraph" w:customStyle="1" w:styleId="20">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4">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2">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8">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8">
    <w:name w:val="Char"/>
    <w:basedOn w:val="1"/>
    <w:qFormat/>
    <w:uiPriority w:val="0"/>
    <w:rPr>
      <w:rFonts w:eastAsia="宋体"/>
      <w:sz w:val="21"/>
      <w:szCs w:val="21"/>
    </w:rPr>
  </w:style>
  <w:style w:type="paragraph" w:customStyle="1" w:styleId="4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1">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正文文本 21"/>
    <w:basedOn w:val="1"/>
    <w:qFormat/>
    <w:uiPriority w:val="0"/>
    <w:pPr>
      <w:adjustRightInd w:val="0"/>
      <w:ind w:firstLine="630"/>
      <w:jc w:val="left"/>
      <w:textAlignment w:val="baseline"/>
    </w:pPr>
    <w:rPr>
      <w:rFonts w:eastAsia="黑体"/>
    </w:rPr>
  </w:style>
  <w:style w:type="paragraph" w:customStyle="1" w:styleId="54">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7">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0">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3">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4">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0">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p0"/>
    <w:basedOn w:val="1"/>
    <w:qFormat/>
    <w:uiPriority w:val="0"/>
    <w:pPr>
      <w:widowControl/>
    </w:pPr>
    <w:rPr>
      <w:rFonts w:eastAsia="宋体"/>
      <w:kern w:val="0"/>
      <w:szCs w:val="32"/>
    </w:rPr>
  </w:style>
  <w:style w:type="paragraph" w:customStyle="1" w:styleId="82">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29</Pages>
  <Words>6326</Words>
  <Characters>7981</Characters>
  <Lines>71</Lines>
  <Paragraphs>20</Paragraphs>
  <TotalTime>6</TotalTime>
  <ScaleCrop>false</ScaleCrop>
  <LinksUpToDate>false</LinksUpToDate>
  <CharactersWithSpaces>8529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2022-02-21T08:08:00Z</cp:lastPrinted>
  <dcterms:modified xsi:type="dcterms:W3CDTF">2024-01-18T08:15:35Z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3B4A2C213FA94796B646FDC994C00DD5_13</vt:lpwstr>
  </property>
</Properties>
</file>