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hint="default" w:ascii="宋体" w:hAnsi="宋体" w:eastAsia="宋体" w:cs="宋体"/>
          <w:sz w:val="44"/>
          <w:szCs w:val="44"/>
          <w:lang w:val="en-US" w:eastAsia="zh-CN"/>
        </w:rPr>
      </w:pPr>
      <w:r>
        <w:rPr>
          <w:rFonts w:hint="eastAsia" w:ascii="宋体" w:hAnsi="宋体" w:eastAsia="宋体" w:cs="宋体"/>
          <w:sz w:val="44"/>
          <w:szCs w:val="44"/>
          <w:u w:val="single"/>
          <w:lang w:val="en-US" w:eastAsia="zh-CN"/>
        </w:rPr>
        <w:t>梨树县刘家馆子镇人民政府</w:t>
      </w:r>
      <w:r>
        <w:rPr>
          <w:rFonts w:hint="eastAsia" w:ascii="宋体" w:hAnsi="宋体" w:eastAsia="宋体" w:cs="宋体"/>
          <w:sz w:val="44"/>
          <w:szCs w:val="44"/>
        </w:rPr>
        <w:t>202</w:t>
      </w:r>
      <w:r>
        <w:rPr>
          <w:rFonts w:hint="eastAsia" w:ascii="宋体" w:hAnsi="宋体" w:eastAsia="宋体" w:cs="宋体"/>
          <w:sz w:val="44"/>
          <w:szCs w:val="44"/>
          <w:lang w:val="en-US" w:eastAsia="zh-CN"/>
        </w:rPr>
        <w:t>4</w:t>
      </w:r>
      <w:r>
        <w:rPr>
          <w:rFonts w:hint="eastAsia" w:ascii="宋体" w:hAnsi="宋体" w:eastAsia="宋体" w:cs="宋体"/>
          <w:sz w:val="44"/>
          <w:szCs w:val="44"/>
        </w:rPr>
        <w:t>年部门预算</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汇总）</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lang w:eastAsia="zh-CN"/>
        </w:rPr>
        <w:t>四</w:t>
      </w:r>
      <w:r>
        <w:rPr>
          <w:rFonts w:eastAsia="华文细黑"/>
        </w:rPr>
        <w:t>年</w:t>
      </w:r>
    </w:p>
    <w:p>
      <w:pPr>
        <w:rPr>
          <w:rFonts w:eastAsia="黑体"/>
        </w:rPr>
      </w:pPr>
    </w:p>
    <w:p>
      <w:pPr>
        <w:ind w:firstLine="640" w:firstLineChars="200"/>
        <w:rPr>
          <w:rFonts w:eastAsia="黑体"/>
        </w:rPr>
      </w:pPr>
    </w:p>
    <w:p>
      <w:pPr>
        <w:jc w:val="center"/>
        <w:rPr>
          <w:rFonts w:hint="eastAsia" w:asciiTheme="majorEastAsia" w:hAnsiTheme="majorEastAsia" w:eastAsiaTheme="majorEastAsia" w:cstheme="majorEastAsia"/>
          <w:sz w:val="44"/>
          <w:szCs w:val="44"/>
        </w:rPr>
      </w:pPr>
      <w:r>
        <w:rPr>
          <w:rFonts w:eastAsia="黑体"/>
        </w:rPr>
        <w:br w:type="page"/>
      </w:r>
      <w:r>
        <w:rPr>
          <w:rFonts w:hint="eastAsia" w:asciiTheme="majorEastAsia" w:hAnsiTheme="majorEastAsia" w:eastAsiaTheme="majorEastAsia" w:cstheme="majorEastAsia"/>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rPr>
          <w:rFonts w:hint="eastAsia"/>
        </w:rPr>
      </w:pPr>
      <w:r>
        <w:t>五、</w:t>
      </w:r>
      <w:r>
        <w:rPr>
          <w:rFonts w:hint="eastAsia"/>
        </w:rPr>
        <w:t>一般公共预算支出表</w:t>
      </w:r>
    </w:p>
    <w:p>
      <w:pPr>
        <w:ind w:left="320" w:leftChars="100" w:firstLine="320" w:firstLineChars="100"/>
        <w:rPr>
          <w:rFonts w:hint="eastAsia"/>
        </w:rPr>
      </w:pPr>
      <w:r>
        <w:t>六、</w:t>
      </w:r>
      <w:r>
        <w:rPr>
          <w:rFonts w:hint="eastAsia"/>
        </w:rPr>
        <w:t>一般公共预算基本支出表</w:t>
      </w:r>
    </w:p>
    <w:p>
      <w:pPr>
        <w:ind w:left="320" w:leftChars="100" w:firstLine="320" w:firstLineChars="100"/>
        <w:rPr>
          <w:rFonts w:hint="eastAsia" w:eastAsia="仿宋_GB2312"/>
          <w:color w:val="auto"/>
          <w:lang w:eastAsia="zh-CN"/>
        </w:rPr>
      </w:pPr>
      <w:r>
        <w:rPr>
          <w:rFonts w:hint="eastAsia"/>
          <w:color w:val="auto"/>
          <w:lang w:eastAsia="zh-CN"/>
        </w:rPr>
        <w:t>七、本年一般公共预算支出明细表</w:t>
      </w:r>
    </w:p>
    <w:p>
      <w:pPr>
        <w:ind w:left="320" w:leftChars="100" w:firstLine="320" w:firstLineChars="100"/>
        <w:rPr>
          <w:color w:val="auto"/>
        </w:rPr>
      </w:pPr>
      <w:r>
        <w:rPr>
          <w:rFonts w:hint="eastAsia"/>
          <w:color w:val="auto"/>
          <w:lang w:eastAsia="zh-CN"/>
        </w:rPr>
        <w:t>八</w:t>
      </w:r>
      <w:r>
        <w:rPr>
          <w:color w:val="auto"/>
        </w:rPr>
        <w:t>、一般公共预算“三公”经费支出表</w:t>
      </w:r>
    </w:p>
    <w:p>
      <w:pPr>
        <w:ind w:left="320" w:leftChars="100" w:firstLine="320" w:firstLineChars="100"/>
        <w:rPr>
          <w:color w:val="auto"/>
        </w:rPr>
      </w:pPr>
      <w:r>
        <w:rPr>
          <w:rFonts w:hint="eastAsia"/>
          <w:color w:val="auto"/>
          <w:lang w:eastAsia="zh-CN"/>
        </w:rPr>
        <w:t>九</w:t>
      </w:r>
      <w:r>
        <w:rPr>
          <w:color w:val="auto"/>
        </w:rPr>
        <w:t>、政府性基金预算支出表</w:t>
      </w:r>
    </w:p>
    <w:p>
      <w:pPr>
        <w:ind w:left="320" w:leftChars="100" w:firstLine="320" w:firstLineChars="100"/>
        <w:rPr>
          <w:rFonts w:hint="eastAsia" w:eastAsia="仿宋_GB2312"/>
          <w:color w:val="auto"/>
          <w:lang w:eastAsia="zh-CN"/>
        </w:rPr>
      </w:pPr>
      <w:r>
        <w:rPr>
          <w:rFonts w:hint="eastAsia"/>
          <w:color w:val="auto"/>
          <w:lang w:eastAsia="zh-CN"/>
        </w:rPr>
        <w:t>十、本年政府性基金预算明细表</w:t>
      </w:r>
    </w:p>
    <w:p>
      <w:pPr>
        <w:ind w:left="320" w:leftChars="100" w:firstLine="320" w:firstLineChars="100"/>
        <w:rPr>
          <w:rFonts w:hint="eastAsia"/>
          <w:color w:val="auto"/>
        </w:rPr>
      </w:pPr>
      <w:r>
        <w:rPr>
          <w:rFonts w:hint="eastAsia"/>
          <w:color w:val="auto"/>
          <w:lang w:eastAsia="zh-CN"/>
        </w:rPr>
        <w:t>十一</w:t>
      </w:r>
      <w:r>
        <w:rPr>
          <w:rFonts w:hint="eastAsia"/>
          <w:color w:val="auto"/>
        </w:rPr>
        <w:t>、国有资本经营</w:t>
      </w:r>
      <w:r>
        <w:rPr>
          <w:color w:val="auto"/>
        </w:rPr>
        <w:t>预算支出表</w:t>
      </w:r>
    </w:p>
    <w:p>
      <w:pPr>
        <w:ind w:left="320" w:leftChars="100" w:firstLine="320" w:firstLineChars="100"/>
        <w:rPr>
          <w:rFonts w:hint="eastAsia"/>
        </w:rPr>
      </w:pPr>
      <w:r>
        <w:rPr>
          <w:rFonts w:hint="eastAsia"/>
          <w:lang w:eastAsia="zh-CN"/>
        </w:rPr>
        <w:t>十二、</w:t>
      </w:r>
      <w:r>
        <w:rPr>
          <w:rFonts w:hint="eastAsia"/>
        </w:rPr>
        <w:t>项目支出表</w:t>
      </w:r>
    </w:p>
    <w:p>
      <w:pPr>
        <w:ind w:left="320" w:leftChars="100" w:firstLine="320" w:firstLineChars="100"/>
        <w:rPr>
          <w:rFonts w:hint="eastAsia"/>
        </w:rPr>
      </w:pPr>
      <w:r>
        <w:rPr>
          <w:rFonts w:hint="eastAsia"/>
          <w:lang w:eastAsia="zh-CN"/>
        </w:rPr>
        <w:t>十三</w:t>
      </w:r>
      <w:r>
        <w:rPr>
          <w:rFonts w:hint="eastAsia"/>
        </w:rPr>
        <w:t>、项目支出绩效目标表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jc w:val="left"/>
        <w:rPr>
          <w:szCs w:val="32"/>
        </w:rPr>
      </w:pPr>
      <w:r>
        <w:rPr>
          <w:rFonts w:hint="eastAsia" w:cs="仿宋_GB2312"/>
          <w:color w:val="000000"/>
          <w:szCs w:val="32"/>
          <w:lang w:bidi="ar"/>
        </w:rPr>
        <w:t>（</w:t>
      </w:r>
      <w:r>
        <w:rPr>
          <w:rFonts w:hint="eastAsia" w:cs="仿宋_GB2312"/>
          <w:szCs w:val="32"/>
          <w:lang w:bidi="ar"/>
        </w:rPr>
        <w:t>一）加强党的建设。落实基层党建工作主体责任和领</w:t>
      </w:r>
    </w:p>
    <w:p>
      <w:pPr>
        <w:jc w:val="left"/>
        <w:rPr>
          <w:szCs w:val="32"/>
        </w:rPr>
      </w:pPr>
      <w:r>
        <w:rPr>
          <w:rFonts w:hint="eastAsia" w:cs="仿宋_GB2312"/>
          <w:szCs w:val="32"/>
          <w:lang w:bidi="ar"/>
        </w:rPr>
        <w:t>导责任，坚持和完善党的全面领导，加强党的组织体系建设增强党的政治领导力、思想引领力、群众组织力、社会号召力。统筹抓好辖区内新领域新业态新群体党建工作，强化党的政治建设、思想建设、组织建设、作风建设、纪律建设，把制度建设贯穿其中。全面落实镇党委、政府抓党风廉政建设的主体责任。加强基层意识形态工作。推进党建引领基层治理，提升基层党组织的政治功能和组织力。</w:t>
      </w:r>
    </w:p>
    <w:p>
      <w:pPr>
        <w:ind w:firstLine="640" w:firstLineChars="200"/>
        <w:jc w:val="left"/>
        <w:rPr>
          <w:szCs w:val="32"/>
        </w:rPr>
      </w:pPr>
      <w:r>
        <w:rPr>
          <w:rFonts w:hint="eastAsia" w:cs="仿宋_GB2312"/>
          <w:szCs w:val="32"/>
          <w:lang w:bidi="ar"/>
        </w:rPr>
        <w:t>（二）统筹区域发展。统筹落实乡村振兴发展的重大决策和发展规划，参与辖区公共服务设施建设规划，推动辖区健康、有序、可持续发展。合理确定经济发展职能，因地制宜，组织发展区域特色经济，统筹指导和发展村级集体经济，把经济工作重心转移到推进产业升级、促进经济结构调整和经济增长方式转变上来。统筹做好企业服务工作，营造良好营商环境。实施乡村振兴战略各项政策，落实脱贫攻坚主体责任，提升乡村治理能力，规范“三资”管理工作。</w:t>
      </w:r>
    </w:p>
    <w:p>
      <w:pPr>
        <w:ind w:firstLine="640" w:firstLineChars="200"/>
        <w:jc w:val="left"/>
        <w:rPr>
          <w:szCs w:val="32"/>
        </w:rPr>
      </w:pPr>
      <w:r>
        <w:rPr>
          <w:rFonts w:hint="eastAsia" w:cs="仿宋_GB2312"/>
          <w:szCs w:val="32"/>
          <w:lang w:bidi="ar"/>
        </w:rPr>
        <w:t>（三）组织公共服务。推进政府职能由“管理型”向“服务型”转变，积极推进基本公共服务均等化。推动优质公共服务资源向村（社区）延伸。创新公共服务供给方式，加快建立政府主导、社会参与、公办民办并举的公共服务供给模式，加大政府购买服务力度。组织实施与群众生活密切相关的各项公共服务，负责落实人社、社保、医保、退役军人、民政、教育、科技、文化、体育、旅游、广电、卫生健康、河湖管理等各领域相关政策和辖区内的工作统筹开展。</w:t>
      </w:r>
    </w:p>
    <w:p>
      <w:pPr>
        <w:ind w:firstLine="320" w:firstLineChars="100"/>
        <w:jc w:val="left"/>
        <w:rPr>
          <w:szCs w:val="32"/>
        </w:rPr>
      </w:pPr>
      <w:r>
        <w:rPr>
          <w:rFonts w:hint="eastAsia" w:cs="仿宋_GB2312"/>
          <w:szCs w:val="32"/>
          <w:lang w:bidi="ar"/>
        </w:rPr>
        <w:t>（四）实施综合管理。负责辖区内城乡管理、人口管理、</w:t>
      </w:r>
    </w:p>
    <w:p>
      <w:pPr>
        <w:jc w:val="left"/>
        <w:rPr>
          <w:szCs w:val="32"/>
        </w:rPr>
      </w:pPr>
      <w:r>
        <w:rPr>
          <w:rFonts w:hint="eastAsia" w:cs="仿宋_GB2312"/>
          <w:szCs w:val="32"/>
          <w:lang w:bidi="ar"/>
        </w:rPr>
        <w:t>社会管理等综合性工作，承担组织领导、推进实施、综合协调、监督检查职能和工作责任。统筹抓好协调部门派驻辖区机构的日常管理和考核评价。突出基层治理职责，建立镇村两级共治体系，强化主体责任，着力解决城镇化发展进程中的各种问题。加强和完善经济发展、综合执法、应急管理、自然资源管理、市场监管、生态环境保护等方面职能，落实工作职责。负责对辖区内物业管理的监督检查指导，对辖区住宅小区开展综合管理。</w:t>
      </w:r>
    </w:p>
    <w:p>
      <w:pPr>
        <w:ind w:firstLine="320" w:firstLineChars="100"/>
        <w:jc w:val="left"/>
        <w:rPr>
          <w:szCs w:val="32"/>
        </w:rPr>
      </w:pPr>
      <w:r>
        <w:rPr>
          <w:rFonts w:hint="eastAsia" w:cs="仿宋_GB2312"/>
          <w:szCs w:val="32"/>
          <w:lang w:bidi="ar"/>
        </w:rPr>
        <w:t>（五）动员社会参与。坚持以基层党建引领基层治理，</w:t>
      </w:r>
    </w:p>
    <w:p>
      <w:pPr>
        <w:ind w:firstLine="320" w:firstLineChars="100"/>
        <w:jc w:val="left"/>
        <w:rPr>
          <w:szCs w:val="32"/>
        </w:rPr>
      </w:pPr>
      <w:r>
        <w:rPr>
          <w:rFonts w:hint="eastAsia" w:cs="仿宋_GB2312"/>
          <w:szCs w:val="32"/>
          <w:lang w:bidi="ar"/>
        </w:rPr>
        <w:t>强化统筹领导，负责动员指导辖区内各类单位、社会组织和村（社区）等社会力量参与社会治理，组织引导辖区单位履行社会责任，整合辖区内各种社会力量为镇、村（社区）发展服务。负责做实做强由党建引领的基层共治基本单元，构建党组织统一领导、各类组织积极协同、广大群众广泛参与的基层治理体系，打造共建共治共享格局。</w:t>
      </w:r>
    </w:p>
    <w:p>
      <w:pPr>
        <w:ind w:firstLine="320" w:firstLineChars="100"/>
        <w:jc w:val="left"/>
        <w:rPr>
          <w:szCs w:val="32"/>
        </w:rPr>
      </w:pPr>
      <w:r>
        <w:rPr>
          <w:rFonts w:hint="eastAsia" w:cs="仿宋_GB2312"/>
          <w:szCs w:val="32"/>
          <w:lang w:bidi="ar"/>
        </w:rPr>
        <w:t>（六）领导基层自治。强化指导，发挥村（社区）党组</w:t>
      </w:r>
    </w:p>
    <w:p>
      <w:pPr>
        <w:jc w:val="left"/>
        <w:rPr>
          <w:szCs w:val="32"/>
        </w:rPr>
      </w:pPr>
      <w:r>
        <w:rPr>
          <w:rFonts w:hint="eastAsia" w:cs="仿宋_GB2312"/>
          <w:szCs w:val="32"/>
          <w:lang w:bidi="ar"/>
        </w:rPr>
        <w:t>织在基层群众自治组织建设中的领导作用，完善党领导下的基层社会治理体系，推进社会主义基层协商民主建设，做好组织群众、宣传群众、凝聚群众、服务群众工作，发挥村（居）民在基层社会治理中的主体作用，提高基层自治整体水平。</w:t>
      </w:r>
    </w:p>
    <w:p>
      <w:pPr>
        <w:ind w:firstLine="320" w:firstLineChars="100"/>
        <w:jc w:val="left"/>
        <w:rPr>
          <w:szCs w:val="32"/>
        </w:rPr>
      </w:pPr>
      <w:r>
        <w:rPr>
          <w:rFonts w:hint="eastAsia" w:cs="仿宋_GB2312"/>
          <w:szCs w:val="32"/>
          <w:lang w:bidi="ar"/>
        </w:rPr>
        <w:t>（七）维护安全稳定。组织落实安全稳定工作部署，明确工作职责。负责辖区法制建设、平安建设、综合治理、应急管理、国防动员等有关工作。具体负责处理群众来信来访，做好调解工作，有效化解各类矛盾纠纷等。坚持重心下移、力量下沉、保障下倾，实现辖区安全监管执法和综合治理网格化、一体化，提高公共安全体系精细化水平。</w:t>
      </w:r>
    </w:p>
    <w:p>
      <w:pPr>
        <w:ind w:firstLine="320" w:firstLineChars="100"/>
        <w:jc w:val="left"/>
        <w:rPr>
          <w:szCs w:val="32"/>
        </w:rPr>
      </w:pPr>
      <w:r>
        <w:rPr>
          <w:rFonts w:hint="eastAsia" w:cs="仿宋_GB2312"/>
          <w:szCs w:val="32"/>
          <w:lang w:bidi="ar"/>
        </w:rPr>
        <w:t>（八）深化“放管服”改革和“最多跑一次”改革。落</w:t>
      </w:r>
    </w:p>
    <w:p>
      <w:pPr>
        <w:jc w:val="left"/>
        <w:rPr>
          <w:szCs w:val="32"/>
        </w:rPr>
      </w:pPr>
      <w:r>
        <w:rPr>
          <w:rFonts w:hint="eastAsia" w:cs="仿宋_GB2312"/>
          <w:szCs w:val="32"/>
          <w:lang w:bidi="ar"/>
        </w:rPr>
        <w:t>实领导责任和工作责任，依托镇便民服务平台，推进审批服务事项向便民服务中心集中，落实权责清单，细化服务事项、规范办事程序，保障便民服务中心的审批服务事项到位、权限到位。组织推进镇便民服务平台标准化建设，提高效能，加快实现政务服务马上办、网上办、就近办、一次办，提升政务服务质量。</w:t>
      </w:r>
    </w:p>
    <w:p>
      <w:pPr>
        <w:ind w:firstLine="320" w:firstLineChars="100"/>
        <w:jc w:val="left"/>
        <w:rPr>
          <w:color w:val="000000"/>
          <w:sz w:val="21"/>
          <w:szCs w:val="21"/>
        </w:rPr>
      </w:pPr>
      <w:r>
        <w:rPr>
          <w:rFonts w:hint="eastAsia" w:cs="仿宋_GB2312"/>
          <w:szCs w:val="32"/>
          <w:lang w:bidi="ar"/>
        </w:rPr>
        <w:t>（九）完成法律、法规、规章规定的其他事项和县委、县政府交办的其他任务。</w:t>
      </w:r>
    </w:p>
    <w:p>
      <w:pPr>
        <w:ind w:firstLine="640" w:firstLineChars="200"/>
      </w:pPr>
      <w:r>
        <w:rPr>
          <w:rFonts w:eastAsia="楷体_GB2312"/>
        </w:rPr>
        <w:t>二、机构设置</w:t>
      </w:r>
    </w:p>
    <w:p>
      <w:pPr>
        <w:pStyle w:val="8"/>
        <w:spacing w:before="0" w:beforeAutospacing="0" w:after="0" w:afterAutospacing="0"/>
        <w:ind w:firstLine="640" w:firstLineChars="200"/>
        <w:jc w:val="both"/>
        <w:rPr>
          <w:rFonts w:eastAsia="仿宋_GB2312"/>
        </w:rPr>
      </w:pPr>
      <w:r>
        <w:rPr>
          <w:rFonts w:hint="eastAsia" w:ascii="Times New Roman" w:hAnsi="Times New Roman" w:eastAsia="仿宋_GB2312" w:cs="仿宋_GB2312"/>
          <w:sz w:val="32"/>
          <w:szCs w:val="32"/>
          <w:lang w:bidi="ar"/>
        </w:rPr>
        <w:t>根据上述职责，刘家馆子镇人民政府内设</w:t>
      </w:r>
      <w:r>
        <w:rPr>
          <w:rFonts w:ascii="Times New Roman" w:hAnsi="Times New Roman" w:eastAsia="仿宋_GB2312" w:cs="Times New Roman"/>
          <w:sz w:val="32"/>
          <w:szCs w:val="32"/>
          <w:lang w:bidi="ar"/>
        </w:rPr>
        <w:t>8</w:t>
      </w:r>
      <w:r>
        <w:rPr>
          <w:rFonts w:hint="eastAsia" w:ascii="Times New Roman" w:hAnsi="Times New Roman" w:eastAsia="仿宋_GB2312" w:cs="仿宋_GB2312"/>
          <w:sz w:val="32"/>
          <w:szCs w:val="32"/>
          <w:lang w:bidi="ar"/>
        </w:rPr>
        <w:t>个机构，分别为综合办公室、党建工作办公室、平安建设办公室、社会事务办公室、农业农村办公室、综合行政执法办公室、城乡建设和生态环境办公室、经济发展办公室。</w:t>
      </w:r>
    </w:p>
    <w:p>
      <w:pPr>
        <w:pStyle w:val="81"/>
        <w:ind w:firstLine="640" w:firstLineChars="200"/>
        <w:rPr>
          <w:rFonts w:eastAsia="黑体"/>
        </w:rPr>
      </w:pPr>
      <w:r>
        <w:rPr>
          <w:rFonts w:hint="eastAsia" w:eastAsia="仿宋_GB2312" w:cs="仿宋_GB2312"/>
          <w:lang w:bidi="ar"/>
        </w:rPr>
        <w:t>下设二家预算单位，分别为梨树县刘家馆子镇人民政府、梨树县刘家馆子镇综合服务中心</w:t>
      </w:r>
      <w:r>
        <w:rPr>
          <w:rFonts w:hint="eastAsia" w:hAnsi="楷体" w:eastAsia="楷体"/>
        </w:rPr>
        <w:br w:type="page"/>
      </w:r>
    </w:p>
    <w:p>
      <w:pPr>
        <w:ind w:firstLine="640" w:firstLineChars="200"/>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rPr>
            </w:pPr>
            <w:r>
              <w:rPr>
                <w:rFonts w:hint="eastAsia" w:asciiTheme="minorEastAsia" w:hAnsiTheme="minorEastAsia" w:eastAsiaTheme="minorEastAsia" w:cstheme="minorEastAsia"/>
                <w:kern w:val="0"/>
                <w:sz w:val="44"/>
                <w:szCs w:val="44"/>
              </w:rPr>
              <w:t>收支总表</w:t>
            </w:r>
          </w:p>
        </w:tc>
      </w:tr>
      <w:tr>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rPr>
            </w:pPr>
          </w:p>
        </w:tc>
        <w:tc>
          <w:tcPr>
            <w:tcW w:w="1200" w:type="dxa"/>
            <w:tcBorders>
              <w:top w:val="nil"/>
              <w:left w:val="nil"/>
              <w:bottom w:val="nil"/>
              <w:right w:val="nil"/>
            </w:tcBorders>
            <w:noWrap w:val="0"/>
            <w:vAlign w:val="center"/>
          </w:tcPr>
          <w:p>
            <w:pPr>
              <w:widowControl/>
              <w:jc w:val="center"/>
              <w:rPr>
                <w:rFonts w:eastAsia="宋体"/>
                <w:kern w:val="0"/>
                <w:sz w:val="20"/>
              </w:rPr>
            </w:pPr>
          </w:p>
        </w:tc>
        <w:tc>
          <w:tcPr>
            <w:tcW w:w="2498" w:type="dxa"/>
            <w:gridSpan w:val="2"/>
            <w:tcBorders>
              <w:top w:val="nil"/>
              <w:left w:val="nil"/>
              <w:bottom w:val="nil"/>
              <w:right w:val="nil"/>
            </w:tcBorders>
            <w:noWrap w:val="0"/>
            <w:vAlign w:val="center"/>
          </w:tcPr>
          <w:p>
            <w:pPr>
              <w:widowControl/>
              <w:jc w:val="center"/>
              <w:rPr>
                <w:rFonts w:eastAsia="宋体"/>
                <w:kern w:val="0"/>
                <w:sz w:val="20"/>
              </w:rPr>
            </w:pPr>
          </w:p>
        </w:tc>
        <w:tc>
          <w:tcPr>
            <w:tcW w:w="2340" w:type="dxa"/>
            <w:gridSpan w:val="3"/>
            <w:tcBorders>
              <w:top w:val="nil"/>
              <w:left w:val="nil"/>
              <w:bottom w:val="nil"/>
              <w:right w:val="nil"/>
            </w:tcBorders>
            <w:noWrap w:val="0"/>
            <w:vAlign w:val="center"/>
          </w:tcPr>
          <w:p>
            <w:pPr>
              <w:widowControl/>
              <w:jc w:val="center"/>
              <w:rPr>
                <w:rFonts w:eastAsia="宋体"/>
                <w:kern w:val="0"/>
                <w:sz w:val="20"/>
              </w:rPr>
            </w:pPr>
            <w:r>
              <w:rPr>
                <w:rFonts w:eastAsia="宋体"/>
                <w:kern w:val="0"/>
                <w:sz w:val="20"/>
              </w:rPr>
              <w:t>单位：万元</w:t>
            </w:r>
          </w:p>
        </w:tc>
      </w:tr>
      <w:tr>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tblPrEx>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w:t>
            </w:r>
            <w:r>
              <w:rPr>
                <w:rFonts w:eastAsia="宋体"/>
                <w:kern w:val="0"/>
                <w:sz w:val="20"/>
              </w:rPr>
              <w:t>预算数</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1200"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当年</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一、财政拨款收入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lang w:val="en-US" w:eastAsia="zh-CN" w:bidi="ar-SA"/>
              </w:rPr>
            </w:pPr>
            <w:r>
              <w:rPr>
                <w:rFonts w:hint="eastAsia" w:eastAsia="宋体"/>
                <w:color w:val="000000"/>
                <w:kern w:val="0"/>
                <w:sz w:val="20"/>
                <w:lang w:val="en-US" w:eastAsia="zh-CN"/>
              </w:rPr>
              <w:t>855.22</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855.22</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一般公共预算拨款收入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color w:val="000000"/>
                <w:kern w:val="0"/>
                <w:sz w:val="20"/>
                <w:lang w:val="en-US" w:eastAsia="zh-CN" w:bidi="ar-SA"/>
              </w:rPr>
            </w:pPr>
            <w:r>
              <w:rPr>
                <w:rFonts w:hint="eastAsia" w:eastAsia="宋体"/>
                <w:color w:val="000000"/>
                <w:kern w:val="0"/>
                <w:sz w:val="20"/>
                <w:lang w:val="en-US" w:eastAsia="zh-CN"/>
              </w:rPr>
              <w:t>184.24</w:t>
            </w:r>
          </w:p>
        </w:tc>
        <w:tc>
          <w:tcPr>
            <w:tcW w:w="1182" w:type="dxa"/>
            <w:gridSpan w:val="2"/>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184.24</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政府性基金预算拨款收入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color w:val="000000"/>
                <w:kern w:val="0"/>
                <w:sz w:val="20"/>
                <w:lang w:val="en-US" w:eastAsia="zh-CN" w:bidi="ar-SA"/>
              </w:rPr>
            </w:pPr>
            <w:r>
              <w:rPr>
                <w:rFonts w:hint="eastAsia" w:eastAsia="宋体"/>
                <w:color w:val="000000"/>
                <w:kern w:val="0"/>
                <w:sz w:val="20"/>
                <w:lang w:val="en-US" w:eastAsia="zh-CN"/>
              </w:rPr>
              <w:t>51.80</w:t>
            </w:r>
          </w:p>
        </w:tc>
        <w:tc>
          <w:tcPr>
            <w:tcW w:w="1182" w:type="dxa"/>
            <w:gridSpan w:val="2"/>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51.80</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国有资本经营预算拨款收入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color w:val="000000"/>
                <w:kern w:val="0"/>
                <w:sz w:val="20"/>
                <w:lang w:val="en-US" w:eastAsia="zh-CN" w:bidi="ar-SA"/>
              </w:rPr>
            </w:pPr>
            <w:r>
              <w:rPr>
                <w:rFonts w:hint="eastAsia" w:eastAsia="宋体"/>
                <w:color w:val="000000"/>
                <w:kern w:val="0"/>
                <w:sz w:val="20"/>
                <w:lang w:val="en-US" w:eastAsia="zh-CN"/>
              </w:rPr>
              <w:t>87.53</w:t>
            </w:r>
          </w:p>
        </w:tc>
        <w:tc>
          <w:tcPr>
            <w:tcW w:w="1182" w:type="dxa"/>
            <w:gridSpan w:val="2"/>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color w:val="000000"/>
                <w:kern w:val="0"/>
                <w:sz w:val="20"/>
                <w:lang w:val="en-US" w:eastAsia="zh-CN" w:bidi="ar-SA"/>
              </w:rPr>
            </w:pPr>
            <w:r>
              <w:rPr>
                <w:rFonts w:hint="eastAsia" w:eastAsia="宋体"/>
                <w:color w:val="000000"/>
                <w:kern w:val="0"/>
                <w:sz w:val="20"/>
                <w:lang w:val="en-US" w:eastAsia="zh-CN"/>
              </w:rPr>
              <w:t>87.53</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rPr>
            </w:pPr>
            <w:r>
              <w:rPr>
                <w:rFonts w:hint="eastAsia" w:eastAsia="宋体"/>
                <w:sz w:val="20"/>
              </w:rPr>
              <w:t>二、财政专户管理资金收入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rPr>
            </w:pPr>
            <w:r>
              <w:rPr>
                <w:rFonts w:hint="eastAsia" w:eastAsia="宋体"/>
                <w:sz w:val="20"/>
              </w:rPr>
              <w:t>三、单位资金收入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事业单位经营收入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上级补助收入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附属单位上缴收入</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r>
              <w:rPr>
                <w:rFonts w:hint="eastAsia" w:eastAsia="宋体"/>
                <w:sz w:val="20"/>
              </w:rPr>
              <w:t>其他收入</w:t>
            </w:r>
          </w:p>
        </w:tc>
        <w:tc>
          <w:tcPr>
            <w:tcW w:w="104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val="0"/>
                <w:bCs w:val="0"/>
                <w:kern w:val="0"/>
                <w:sz w:val="20"/>
                <w:lang w:val="en-US" w:eastAsia="zh-CN" w:bidi="ar-SA"/>
              </w:rPr>
            </w:pPr>
            <w:r>
              <w:rPr>
                <w:rFonts w:hint="eastAsia" w:eastAsia="宋体"/>
                <w:b w:val="0"/>
                <w:bCs w:val="0"/>
                <w:kern w:val="0"/>
                <w:sz w:val="20"/>
                <w:lang w:val="en-US" w:eastAsia="zh-CN"/>
              </w:rPr>
              <w:t>1178.79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0"/>
                <w:lang w:val="en-US" w:eastAsia="zh-CN" w:bidi="ar-SA"/>
              </w:rPr>
            </w:pPr>
            <w:r>
              <w:rPr>
                <w:rFonts w:hint="eastAsia" w:eastAsia="宋体"/>
                <w:b w:val="0"/>
                <w:bCs w:val="0"/>
                <w:kern w:val="0"/>
                <w:sz w:val="20"/>
                <w:lang w:val="en-US" w:eastAsia="zh-CN"/>
              </w:rPr>
              <w:t>1178.79</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财政拨款结转</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hint="eastAsia" w:eastAsia="宋体"/>
                <w:sz w:val="20"/>
              </w:rPr>
              <w:t>其他收入结转结余</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r>
        <w:tblPrEx>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rPr>
            </w:pPr>
            <w:r>
              <w:rPr>
                <w:rFonts w:eastAsia="黑体"/>
                <w:b/>
                <w:bCs/>
                <w:kern w:val="0"/>
                <w:sz w:val="20"/>
              </w:rPr>
              <w:t>收入总计</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07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bidi="ar-SA"/>
              </w:rPr>
            </w:pPr>
            <w:r>
              <w:rPr>
                <w:rFonts w:hint="eastAsia" w:eastAsia="宋体"/>
                <w:kern w:val="0"/>
                <w:sz w:val="20"/>
                <w:lang w:val="en-US" w:eastAsia="zh-CN"/>
              </w:rPr>
              <w:t>1178.79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eastAsia="宋体"/>
                <w:kern w:val="0"/>
                <w:sz w:val="20"/>
                <w:lang w:val="en-US" w:eastAsia="zh-CN"/>
              </w:rPr>
              <w:t>1178.79</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rPr>
            </w:pPr>
          </w:p>
        </w:tc>
      </w:tr>
    </w:tbl>
    <w:p>
      <w:pPr>
        <w:ind w:firstLine="640" w:firstLineChars="200"/>
        <w:rPr>
          <w:rFonts w:eastAsia="楷体_GB2312"/>
          <w:strike/>
        </w:rPr>
      </w:pPr>
    </w:p>
    <w:p>
      <w:pPr>
        <w:ind w:firstLine="640" w:firstLineChars="200"/>
        <w:rPr>
          <w:rFonts w:eastAsia="楷体_GB2312"/>
        </w:rPr>
      </w:pPr>
    </w:p>
    <w:p>
      <w:pPr>
        <w:ind w:firstLine="645"/>
        <w:rPr>
          <w:rFonts w:eastAsia="楷体"/>
        </w:rPr>
      </w:pPr>
      <w:r>
        <w:rPr>
          <w:rFonts w:hAnsi="楷体" w:eastAsia="楷体"/>
        </w:rPr>
        <w:br w:type="page"/>
      </w:r>
    </w:p>
    <w:p>
      <w:pPr>
        <w:jc w:val="center"/>
        <w:rPr>
          <w:rFonts w:eastAsia="方正小标宋简体"/>
          <w:sz w:val="44"/>
        </w:rPr>
      </w:pPr>
      <w:r>
        <w:rPr>
          <w:rFonts w:hint="eastAsia" w:asciiTheme="majorEastAsia" w:hAnsiTheme="majorEastAsia" w:eastAsiaTheme="majorEastAsia" w:cstheme="majorEastAsia"/>
          <w:sz w:val="44"/>
        </w:rPr>
        <w:t>收入总表</w:t>
      </w:r>
    </w:p>
    <w:tbl>
      <w:tblPr>
        <w:tblStyle w:val="9"/>
        <w:tblW w:w="8969" w:type="dxa"/>
        <w:jc w:val="center"/>
        <w:tblLayout w:type="fixed"/>
        <w:tblCellMar>
          <w:top w:w="0" w:type="dxa"/>
          <w:left w:w="108" w:type="dxa"/>
          <w:bottom w:w="0" w:type="dxa"/>
          <w:right w:w="108" w:type="dxa"/>
        </w:tblCellMar>
      </w:tblPr>
      <w:tblGrid>
        <w:gridCol w:w="428"/>
        <w:gridCol w:w="737"/>
        <w:gridCol w:w="850"/>
        <w:gridCol w:w="875"/>
        <w:gridCol w:w="870"/>
        <w:gridCol w:w="240"/>
        <w:gridCol w:w="262"/>
        <w:gridCol w:w="263"/>
        <w:gridCol w:w="33"/>
        <w:gridCol w:w="217"/>
        <w:gridCol w:w="325"/>
        <w:gridCol w:w="325"/>
        <w:gridCol w:w="194"/>
        <w:gridCol w:w="186"/>
        <w:gridCol w:w="345"/>
        <w:gridCol w:w="41"/>
        <w:gridCol w:w="270"/>
        <w:gridCol w:w="220"/>
        <w:gridCol w:w="196"/>
        <w:gridCol w:w="335"/>
        <w:gridCol w:w="81"/>
        <w:gridCol w:w="416"/>
        <w:gridCol w:w="416"/>
        <w:gridCol w:w="416"/>
        <w:gridCol w:w="387"/>
        <w:gridCol w:w="41"/>
      </w:tblGrid>
      <w:tr>
        <w:tblPrEx>
          <w:tblCellMar>
            <w:top w:w="0" w:type="dxa"/>
            <w:left w:w="108" w:type="dxa"/>
            <w:bottom w:w="0" w:type="dxa"/>
            <w:right w:w="108" w:type="dxa"/>
          </w:tblCellMar>
        </w:tblPrEx>
        <w:trPr>
          <w:gridAfter w:val="1"/>
          <w:wAfter w:w="41" w:type="dxa"/>
          <w:trHeight w:val="441" w:hRule="atLeast"/>
          <w:jc w:val="center"/>
        </w:trPr>
        <w:tc>
          <w:tcPr>
            <w:tcW w:w="428" w:type="dxa"/>
            <w:tcBorders>
              <w:bottom w:val="single" w:color="000000" w:sz="4" w:space="0"/>
            </w:tcBorders>
            <w:noWrap w:val="0"/>
            <w:vAlign w:val="top"/>
          </w:tcPr>
          <w:p>
            <w:pPr>
              <w:autoSpaceDN w:val="0"/>
              <w:jc w:val="left"/>
              <w:textAlignment w:val="center"/>
              <w:rPr>
                <w:rFonts w:eastAsia="华文细黑"/>
                <w:color w:val="000000"/>
                <w:sz w:val="20"/>
              </w:rPr>
            </w:pPr>
          </w:p>
        </w:tc>
        <w:tc>
          <w:tcPr>
            <w:tcW w:w="4130" w:type="dxa"/>
            <w:gridSpan w:val="8"/>
            <w:tcBorders>
              <w:bottom w:val="single" w:color="000000" w:sz="4" w:space="0"/>
            </w:tcBorders>
            <w:noWrap w:val="0"/>
            <w:vAlign w:val="center"/>
          </w:tcPr>
          <w:p>
            <w:pPr>
              <w:autoSpaceDN w:val="0"/>
              <w:jc w:val="left"/>
              <w:textAlignment w:val="center"/>
              <w:rPr>
                <w:rFonts w:eastAsia="华文细黑"/>
                <w:color w:val="000000"/>
                <w:sz w:val="20"/>
              </w:rPr>
            </w:pPr>
          </w:p>
        </w:tc>
        <w:tc>
          <w:tcPr>
            <w:tcW w:w="1061" w:type="dxa"/>
            <w:gridSpan w:val="4"/>
            <w:noWrap w:val="0"/>
            <w:vAlign w:val="center"/>
          </w:tcPr>
          <w:p>
            <w:pPr>
              <w:autoSpaceDN w:val="0"/>
              <w:jc w:val="left"/>
              <w:textAlignment w:val="center"/>
              <w:rPr>
                <w:rFonts w:eastAsia="华文细黑"/>
                <w:color w:val="000000"/>
                <w:sz w:val="20"/>
              </w:rPr>
            </w:pPr>
          </w:p>
        </w:tc>
        <w:tc>
          <w:tcPr>
            <w:tcW w:w="531" w:type="dxa"/>
            <w:gridSpan w:val="2"/>
            <w:noWrap w:val="0"/>
            <w:vAlign w:val="center"/>
          </w:tcPr>
          <w:p>
            <w:pPr>
              <w:autoSpaceDN w:val="0"/>
              <w:jc w:val="left"/>
              <w:textAlignment w:val="center"/>
              <w:rPr>
                <w:rFonts w:eastAsia="华文细黑"/>
                <w:color w:val="000000"/>
                <w:sz w:val="20"/>
              </w:rPr>
            </w:pPr>
          </w:p>
        </w:tc>
        <w:tc>
          <w:tcPr>
            <w:tcW w:w="531" w:type="dxa"/>
            <w:gridSpan w:val="3"/>
            <w:noWrap w:val="0"/>
            <w:vAlign w:val="center"/>
          </w:tcPr>
          <w:p>
            <w:pPr>
              <w:autoSpaceDN w:val="0"/>
              <w:jc w:val="left"/>
              <w:textAlignment w:val="center"/>
              <w:rPr>
                <w:rFonts w:eastAsia="华文细黑"/>
                <w:color w:val="000000"/>
                <w:sz w:val="20"/>
              </w:rPr>
            </w:pPr>
          </w:p>
        </w:tc>
        <w:tc>
          <w:tcPr>
            <w:tcW w:w="531" w:type="dxa"/>
            <w:gridSpan w:val="2"/>
            <w:noWrap w:val="0"/>
            <w:vAlign w:val="bottom"/>
          </w:tcPr>
          <w:p>
            <w:pPr>
              <w:autoSpaceDN w:val="0"/>
              <w:jc w:val="left"/>
              <w:textAlignment w:val="bottom"/>
              <w:rPr>
                <w:rFonts w:eastAsia="宋体"/>
                <w:color w:val="000000"/>
                <w:sz w:val="20"/>
              </w:rPr>
            </w:pPr>
          </w:p>
        </w:tc>
        <w:tc>
          <w:tcPr>
            <w:tcW w:w="1716" w:type="dxa"/>
            <w:gridSpan w:val="5"/>
            <w:noWrap w:val="0"/>
            <w:vAlign w:val="top"/>
          </w:tcPr>
          <w:p>
            <w:pPr>
              <w:wordWrap w:val="0"/>
              <w:autoSpaceDN w:val="0"/>
              <w:jc w:val="right"/>
              <w:textAlignment w:val="center"/>
              <w:rPr>
                <w:rFonts w:eastAsia="宋体"/>
                <w:color w:val="000000"/>
                <w:sz w:val="20"/>
              </w:rPr>
            </w:pPr>
            <w:r>
              <w:rPr>
                <w:rFonts w:eastAsia="宋体"/>
                <w:color w:val="000000"/>
                <w:sz w:val="20"/>
              </w:rPr>
              <w:t xml:space="preserve">  单位：万元</w:t>
            </w:r>
          </w:p>
        </w:tc>
      </w:tr>
      <w:tr>
        <w:tblPrEx>
          <w:tblCellMar>
            <w:top w:w="0" w:type="dxa"/>
            <w:left w:w="108" w:type="dxa"/>
            <w:bottom w:w="0" w:type="dxa"/>
            <w:right w:w="108" w:type="dxa"/>
          </w:tblCellMar>
        </w:tblPrEx>
        <w:trPr>
          <w:gridAfter w:val="1"/>
          <w:wAfter w:w="41" w:type="dxa"/>
          <w:trHeight w:val="418" w:hRule="atLeast"/>
          <w:jc w:val="center"/>
        </w:trPr>
        <w:tc>
          <w:tcPr>
            <w:tcW w:w="11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宋体"/>
                <w:color w:val="000000"/>
                <w:sz w:val="20"/>
              </w:rPr>
            </w:pPr>
            <w:r>
              <w:rPr>
                <w:rFonts w:hint="eastAsia" w:eastAsia="宋体"/>
                <w:color w:val="000000"/>
                <w:sz w:val="20"/>
              </w:rPr>
              <w:t>部门       （单位）</w:t>
            </w:r>
          </w:p>
        </w:tc>
        <w:tc>
          <w:tcPr>
            <w:tcW w:w="850" w:type="dxa"/>
            <w:vMerge w:val="restart"/>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总计</w:t>
            </w:r>
          </w:p>
        </w:tc>
        <w:tc>
          <w:tcPr>
            <w:tcW w:w="4135" w:type="dxa"/>
            <w:gridSpan w:val="1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lang w:eastAsia="zh-CN"/>
              </w:rPr>
            </w:pPr>
            <w:r>
              <w:rPr>
                <w:rFonts w:hint="eastAsia" w:eastAsia="宋体"/>
                <w:color w:val="000000"/>
                <w:sz w:val="20"/>
                <w:lang w:eastAsia="zh-CN"/>
              </w:rPr>
              <w:t>当年预算</w:t>
            </w:r>
          </w:p>
        </w:tc>
        <w:tc>
          <w:tcPr>
            <w:tcW w:w="2778" w:type="dxa"/>
            <w:gridSpan w:val="10"/>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rPr>
            </w:pPr>
            <w:r>
              <w:rPr>
                <w:rFonts w:hint="eastAsia" w:eastAsia="宋体"/>
                <w:color w:val="000000"/>
                <w:sz w:val="20"/>
              </w:rPr>
              <w:t>上年结转结余</w:t>
            </w:r>
          </w:p>
        </w:tc>
      </w:tr>
      <w:tr>
        <w:tblPrEx>
          <w:tblCellMar>
            <w:top w:w="0" w:type="dxa"/>
            <w:left w:w="108" w:type="dxa"/>
            <w:bottom w:w="0" w:type="dxa"/>
            <w:right w:w="108" w:type="dxa"/>
          </w:tblCellMar>
        </w:tblPrEx>
        <w:trPr>
          <w:trHeight w:val="1157" w:hRule="atLeast"/>
          <w:jc w:val="center"/>
        </w:trPr>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eastAsia="宋体"/>
                <w:sz w:val="20"/>
              </w:rPr>
            </w:pPr>
          </w:p>
        </w:tc>
        <w:tc>
          <w:tcPr>
            <w:tcW w:w="850" w:type="dxa"/>
            <w:vMerge w:val="continue"/>
            <w:tcBorders>
              <w:left w:val="single" w:color="000000" w:sz="4" w:space="0"/>
              <w:bottom w:val="single" w:color="000000" w:sz="4" w:space="0"/>
              <w:right w:val="single" w:color="000000" w:sz="4" w:space="0"/>
            </w:tcBorders>
            <w:shd w:val="clear" w:color="auto" w:fill="auto"/>
            <w:noWrap w:val="0"/>
            <w:vAlign w:val="center"/>
          </w:tcPr>
          <w:p>
            <w:pPr>
              <w:autoSpaceDN w:val="0"/>
              <w:jc w:val="center"/>
              <w:rPr>
                <w:rFonts w:eastAsia="宋体"/>
                <w:sz w:val="20"/>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小计</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一般公</w:t>
            </w:r>
            <w:r>
              <w:rPr>
                <w:rFonts w:hint="eastAsia" w:eastAsia="宋体"/>
                <w:sz w:val="20"/>
              </w:rPr>
              <w:br w:type="textWrapping"/>
            </w:r>
            <w:r>
              <w:rPr>
                <w:rFonts w:hint="eastAsia" w:eastAsia="宋体"/>
                <w:sz w:val="20"/>
              </w:rPr>
              <w:t>共预算</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政府性基</w:t>
            </w:r>
            <w:r>
              <w:rPr>
                <w:rFonts w:hint="eastAsia" w:eastAsia="宋体"/>
                <w:sz w:val="20"/>
              </w:rPr>
              <w:br w:type="textWrapping"/>
            </w:r>
            <w:r>
              <w:rPr>
                <w:rFonts w:hint="eastAsia" w:eastAsia="宋体"/>
                <w:sz w:val="20"/>
              </w:rPr>
              <w:t>金预算</w:t>
            </w: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国有资本</w:t>
            </w:r>
            <w:r>
              <w:rPr>
                <w:rFonts w:hint="eastAsia" w:eastAsia="宋体"/>
                <w:sz w:val="20"/>
              </w:rPr>
              <w:br w:type="textWrapping"/>
            </w:r>
            <w:r>
              <w:rPr>
                <w:rFonts w:hint="eastAsia" w:eastAsia="宋体"/>
                <w:sz w:val="20"/>
              </w:rPr>
              <w:t>经营预算</w:t>
            </w:r>
          </w:p>
        </w:tc>
        <w:tc>
          <w:tcPr>
            <w:tcW w:w="2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财政专户</w:t>
            </w:r>
            <w:r>
              <w:rPr>
                <w:rFonts w:hint="eastAsia" w:eastAsia="宋体"/>
                <w:sz w:val="20"/>
              </w:rPr>
              <w:br w:type="textWrapping"/>
            </w:r>
            <w:r>
              <w:rPr>
                <w:rFonts w:hint="eastAsia" w:eastAsia="宋体"/>
                <w:sz w:val="20"/>
              </w:rPr>
              <w:t>管理资金</w:t>
            </w: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事业收入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事业单位</w:t>
            </w:r>
            <w:r>
              <w:rPr>
                <w:rFonts w:hint="eastAsia" w:eastAsia="宋体"/>
                <w:sz w:val="20"/>
              </w:rPr>
              <w:br w:type="textWrapping"/>
            </w:r>
            <w:r>
              <w:rPr>
                <w:rFonts w:hint="eastAsia" w:eastAsia="宋体"/>
                <w:sz w:val="20"/>
              </w:rPr>
              <w:t>经营收入</w:t>
            </w: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上级</w:t>
            </w:r>
            <w:r>
              <w:rPr>
                <w:rFonts w:hint="eastAsia" w:eastAsia="宋体"/>
                <w:sz w:val="20"/>
              </w:rPr>
              <w:br w:type="textWrapping"/>
            </w:r>
            <w:r>
              <w:rPr>
                <w:rFonts w:hint="eastAsia" w:eastAsia="宋体"/>
                <w:sz w:val="20"/>
              </w:rPr>
              <w:t>补助</w:t>
            </w:r>
            <w:r>
              <w:rPr>
                <w:rFonts w:hint="eastAsia" w:eastAsia="宋体"/>
                <w:sz w:val="20"/>
              </w:rPr>
              <w:br w:type="textWrapping"/>
            </w:r>
            <w:r>
              <w:rPr>
                <w:rFonts w:hint="eastAsia" w:eastAsia="宋体"/>
                <w:sz w:val="20"/>
              </w:rPr>
              <w:t>收入</w:t>
            </w: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附属单位</w:t>
            </w:r>
            <w:r>
              <w:rPr>
                <w:rFonts w:hint="eastAsia" w:eastAsia="宋体"/>
                <w:sz w:val="20"/>
              </w:rPr>
              <w:br w:type="textWrapping"/>
            </w:r>
            <w:r>
              <w:rPr>
                <w:rFonts w:hint="eastAsia" w:eastAsia="宋体"/>
                <w:sz w:val="20"/>
              </w:rPr>
              <w:t>上缴收入</w:t>
            </w: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rPr>
            </w:pPr>
            <w:r>
              <w:rPr>
                <w:rFonts w:hint="eastAsia" w:eastAsia="宋体"/>
                <w:sz w:val="20"/>
              </w:rPr>
              <w:t>其他</w:t>
            </w:r>
            <w:r>
              <w:rPr>
                <w:rFonts w:hint="eastAsia" w:eastAsia="宋体"/>
                <w:sz w:val="20"/>
              </w:rPr>
              <w:br w:type="textWrapping"/>
            </w:r>
            <w:r>
              <w:rPr>
                <w:rFonts w:hint="eastAsia" w:eastAsia="宋体"/>
                <w:sz w:val="20"/>
              </w:rPr>
              <w:t>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textAlignment w:val="center"/>
              <w:rPr>
                <w:rFonts w:eastAsia="宋体"/>
                <w:sz w:val="20"/>
              </w:rPr>
            </w:pPr>
            <w:r>
              <w:rPr>
                <w:rFonts w:hint="eastAsia" w:ascii="华文细黑" w:hAnsi="华文细黑" w:eastAsia="华文细黑" w:cs="华文细黑"/>
                <w:color w:val="000000"/>
                <w:kern w:val="0"/>
                <w:sz w:val="16"/>
                <w:szCs w:val="16"/>
                <w:lang w:bidi="ar"/>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政府性基金预算拨款结转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rPr>
            </w:pPr>
            <w:r>
              <w:rPr>
                <w:rFonts w:hint="eastAsia" w:eastAsia="宋体"/>
                <w:sz w:val="20"/>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rPr>
            </w:pPr>
            <w:r>
              <w:rPr>
                <w:rFonts w:hint="eastAsia" w:eastAsia="宋体"/>
                <w:sz w:val="20"/>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rPr>
            </w:pPr>
            <w:r>
              <w:rPr>
                <w:rFonts w:hint="eastAsia" w:eastAsia="宋体"/>
                <w:sz w:val="20"/>
              </w:rPr>
              <w:t>单位资金结转结余</w:t>
            </w:r>
          </w:p>
        </w:tc>
        <w:tc>
          <w:tcPr>
            <w:tcW w:w="4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eastAsia" w:eastAsia="宋体"/>
                <w:sz w:val="20"/>
              </w:rPr>
            </w:pPr>
            <w:r>
              <w:rPr>
                <w:rFonts w:hint="eastAsia" w:eastAsia="宋体"/>
                <w:sz w:val="20"/>
              </w:rPr>
              <w:t>用事业基</w:t>
            </w:r>
            <w:r>
              <w:rPr>
                <w:rFonts w:hint="eastAsia" w:eastAsia="宋体"/>
                <w:sz w:val="20"/>
              </w:rPr>
              <w:br w:type="textWrapping"/>
            </w:r>
            <w:r>
              <w:rPr>
                <w:rFonts w:hint="eastAsia" w:eastAsia="宋体"/>
                <w:sz w:val="20"/>
              </w:rPr>
              <w:t>金弥补收</w:t>
            </w:r>
            <w:r>
              <w:rPr>
                <w:rFonts w:hint="eastAsia" w:eastAsia="宋体"/>
                <w:sz w:val="20"/>
              </w:rPr>
              <w:br w:type="textWrapping"/>
            </w:r>
            <w:r>
              <w:rPr>
                <w:rFonts w:hint="eastAsia" w:eastAsia="宋体"/>
                <w:sz w:val="20"/>
              </w:rPr>
              <w:t>支差额</w:t>
            </w:r>
          </w:p>
        </w:tc>
      </w:tr>
      <w:tr>
        <w:tblPrEx>
          <w:tblCellMar>
            <w:top w:w="0" w:type="dxa"/>
            <w:left w:w="108" w:type="dxa"/>
            <w:bottom w:w="0" w:type="dxa"/>
            <w:right w:w="108" w:type="dxa"/>
          </w:tblCellMar>
        </w:tblPrEx>
        <w:trPr>
          <w:trHeight w:val="523" w:hRule="atLeast"/>
          <w:jc w:val="center"/>
        </w:trPr>
        <w:tc>
          <w:tcPr>
            <w:tcW w:w="1165" w:type="dxa"/>
            <w:gridSpan w:val="2"/>
            <w:tcBorders>
              <w:left w:val="single" w:color="000000" w:sz="4" w:space="0"/>
              <w:right w:val="single" w:color="000000" w:sz="4" w:space="0"/>
            </w:tcBorders>
            <w:noWrap w:val="0"/>
            <w:vAlign w:val="center"/>
          </w:tcPr>
          <w:p>
            <w:pPr>
              <w:widowControl/>
              <w:jc w:val="left"/>
              <w:rPr>
                <w:rFonts w:hint="default" w:eastAsia="宋体"/>
                <w:color w:val="000000"/>
                <w:kern w:val="2"/>
                <w:sz w:val="20"/>
                <w:lang w:val="en-US" w:eastAsia="zh-CN" w:bidi="ar-SA"/>
              </w:rPr>
            </w:pPr>
            <w:r>
              <w:rPr>
                <w:rFonts w:hint="eastAsia" w:eastAsia="宋体"/>
                <w:color w:val="000000"/>
                <w:kern w:val="2"/>
                <w:sz w:val="20"/>
                <w:lang w:val="en-US" w:eastAsia="zh-CN" w:bidi="ar-SA"/>
              </w:rPr>
              <w:t>梨树县刘家馆子镇</w:t>
            </w:r>
          </w:p>
        </w:tc>
        <w:tc>
          <w:tcPr>
            <w:tcW w:w="85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1178.79</w:t>
            </w:r>
          </w:p>
        </w:tc>
        <w:tc>
          <w:tcPr>
            <w:tcW w:w="87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1178.79</w:t>
            </w:r>
          </w:p>
        </w:tc>
        <w:tc>
          <w:tcPr>
            <w:tcW w:w="87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1178.79</w:t>
            </w:r>
          </w:p>
        </w:tc>
        <w:tc>
          <w:tcPr>
            <w:tcW w:w="240" w:type="dxa"/>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eastAsia="宋体"/>
                <w:color w:val="000000"/>
                <w:sz w:val="20"/>
              </w:rPr>
            </w:pPr>
          </w:p>
        </w:tc>
        <w:tc>
          <w:tcPr>
            <w:tcW w:w="262"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263"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eastAsia="宋体"/>
                <w:color w:val="000000"/>
                <w:sz w:val="20"/>
              </w:rPr>
            </w:pPr>
          </w:p>
        </w:tc>
        <w:tc>
          <w:tcPr>
            <w:tcW w:w="25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2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25"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80"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38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270"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gridSpan w:val="2"/>
            <w:tcBorders>
              <w:top w:val="single" w:color="000000" w:sz="4" w:space="0"/>
              <w:left w:val="single" w:color="000000" w:sz="4" w:space="0"/>
              <w:right w:val="single" w:color="000000" w:sz="4" w:space="0"/>
            </w:tcBorders>
            <w:noWrap w:val="0"/>
            <w:vAlign w:val="top"/>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c>
          <w:tcPr>
            <w:tcW w:w="428"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rPr>
            </w:pPr>
          </w:p>
        </w:tc>
      </w:tr>
      <w:tr>
        <w:tblPrEx>
          <w:tblCellMar>
            <w:top w:w="0" w:type="dxa"/>
            <w:left w:w="108" w:type="dxa"/>
            <w:bottom w:w="0" w:type="dxa"/>
            <w:right w:w="108" w:type="dxa"/>
          </w:tblCellMar>
        </w:tblPrEx>
        <w:trPr>
          <w:trHeight w:val="481"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ascii="Times New Roman" w:hAnsi="Times New Roman" w:eastAsia="宋体" w:cs="Times New Roman"/>
                <w:color w:val="000000"/>
                <w:kern w:val="2"/>
                <w:sz w:val="20"/>
                <w:lang w:val="en-US" w:eastAsia="zh-CN" w:bidi="ar-SA"/>
              </w:rPr>
            </w:pPr>
            <w:r>
              <w:rPr>
                <w:rFonts w:hint="eastAsia" w:ascii="宋体" w:hAnsi="宋体" w:eastAsia="宋体" w:cs="宋体"/>
                <w:color w:val="000000"/>
                <w:sz w:val="20"/>
                <w:szCs w:val="20"/>
              </w:rPr>
              <w:t>刘家馆子镇人民政府</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szCs w:val="20"/>
                <w:lang w:val="en-US" w:eastAsia="zh-CN"/>
              </w:rPr>
              <w:t>378.84</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szCs w:val="20"/>
                <w:lang w:val="en-US" w:eastAsia="zh-CN"/>
              </w:rPr>
              <w:t>378.84</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0"/>
                <w:sz w:val="20"/>
                <w:szCs w:val="20"/>
                <w:lang w:val="en-US" w:eastAsia="zh-CN"/>
              </w:rPr>
              <w:t>378.84</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56"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default" w:eastAsia="宋体"/>
                <w:color w:val="000000"/>
                <w:kern w:val="2"/>
                <w:sz w:val="20"/>
                <w:shd w:val="clear" w:color="auto" w:fill="FFFFFF"/>
                <w:lang w:val="en-US" w:eastAsia="zh-CN" w:bidi="ar-SA"/>
              </w:rPr>
            </w:pPr>
            <w:r>
              <w:rPr>
                <w:rFonts w:hint="eastAsia" w:eastAsia="宋体"/>
                <w:color w:val="000000"/>
                <w:kern w:val="2"/>
                <w:sz w:val="20"/>
                <w:shd w:val="clear" w:color="auto" w:fill="FFFFFF"/>
                <w:lang w:val="en-US" w:eastAsia="zh-CN" w:bidi="ar-SA"/>
              </w:rPr>
              <w:t>梨树县刘家馆子镇综合服务中心</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799.95</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799.95</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default" w:ascii="宋体" w:hAnsi="宋体" w:eastAsia="宋体" w:cs="宋体"/>
                <w:color w:val="000000"/>
                <w:kern w:val="2"/>
                <w:sz w:val="18"/>
                <w:szCs w:val="18"/>
                <w:shd w:val="clear" w:color="auto" w:fill="FFFFFF"/>
                <w:lang w:val="en-US" w:eastAsia="zh-CN" w:bidi="ar-SA"/>
              </w:rPr>
            </w:pPr>
            <w:r>
              <w:rPr>
                <w:rFonts w:hint="eastAsia" w:ascii="宋体" w:hAnsi="宋体" w:eastAsia="宋体" w:cs="宋体"/>
                <w:color w:val="000000"/>
                <w:kern w:val="2"/>
                <w:sz w:val="18"/>
                <w:szCs w:val="18"/>
                <w:shd w:val="clear" w:color="auto" w:fill="FFFFFF"/>
                <w:lang w:val="en-US" w:eastAsia="zh-CN" w:bidi="ar-SA"/>
              </w:rPr>
              <w:t>799.95</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80"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71"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61"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85"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shd w:val="clear" w:color="auto" w:fill="FFFFFF"/>
              </w:rPr>
            </w:pPr>
          </w:p>
        </w:tc>
      </w:tr>
      <w:tr>
        <w:tblPrEx>
          <w:tblCellMar>
            <w:top w:w="0" w:type="dxa"/>
            <w:left w:w="108" w:type="dxa"/>
            <w:bottom w:w="0" w:type="dxa"/>
            <w:right w:w="108" w:type="dxa"/>
          </w:tblCellMar>
        </w:tblPrEx>
        <w:trPr>
          <w:trHeight w:val="460"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left"/>
              <w:textAlignment w:val="center"/>
              <w:rPr>
                <w:rFonts w:eastAsia="华文细黑"/>
                <w:color w:val="000000"/>
                <w:kern w:val="2"/>
                <w:sz w:val="20"/>
                <w:shd w:val="clear" w:color="auto" w:fill="FFFFFF"/>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hint="eastAsia" w:ascii="宋体" w:hAnsi="宋体" w:eastAsia="宋体" w:cs="宋体"/>
                <w:color w:val="000000"/>
                <w:kern w:val="2"/>
                <w:sz w:val="18"/>
                <w:szCs w:val="18"/>
                <w:shd w:val="clear" w:color="auto" w:fill="FFFFFF"/>
                <w:lang w:val="en-US" w:eastAsia="zh-CN" w:bidi="ar-SA"/>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r>
        <w:tblPrEx>
          <w:tblCellMar>
            <w:top w:w="0" w:type="dxa"/>
            <w:left w:w="108" w:type="dxa"/>
            <w:bottom w:w="0" w:type="dxa"/>
            <w:right w:w="108" w:type="dxa"/>
          </w:tblCellMar>
        </w:tblPrEx>
        <w:trPr>
          <w:trHeight w:val="438" w:hRule="atLeast"/>
          <w:jc w:val="center"/>
        </w:trPr>
        <w:tc>
          <w:tcPr>
            <w:tcW w:w="1165"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kern w:val="2"/>
                <w:sz w:val="20"/>
                <w:shd w:val="clear" w:color="auto" w:fill="FFFFFF"/>
                <w:lang w:val="en-US" w:eastAsia="zh-CN" w:bidi="ar-SA"/>
              </w:rPr>
            </w:pPr>
            <w:r>
              <w:rPr>
                <w:rFonts w:eastAsia="宋体"/>
                <w:kern w:val="0"/>
                <w:sz w:val="20"/>
              </w:rPr>
              <w:t>合计</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1178.79</w:t>
            </w:r>
          </w:p>
        </w:tc>
        <w:tc>
          <w:tcPr>
            <w:tcW w:w="8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1178.79</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1178.79</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63"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2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38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c>
          <w:tcPr>
            <w:tcW w:w="428"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shd w:val="clear" w:color="auto" w:fill="FFFFFF"/>
              </w:rPr>
            </w:pPr>
          </w:p>
        </w:tc>
      </w:tr>
    </w:tbl>
    <w:p/>
    <w:p>
      <w:pPr>
        <w:ind w:firstLine="640" w:firstLineChars="200"/>
      </w:pP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支出总表</w:t>
            </w:r>
          </w:p>
          <w:tbl>
            <w:tblPr>
              <w:tblStyle w:val="9"/>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p>
                <w:p>
                  <w:pPr>
                    <w:widowControl/>
                    <w:jc w:val="center"/>
                    <w:rPr>
                      <w:rFonts w:eastAsia="华文细黑"/>
                      <w:color w:val="000000"/>
                      <w:kern w:val="0"/>
                      <w:sz w:val="20"/>
                    </w:rPr>
                  </w:pPr>
                  <w:r>
                    <w:rPr>
                      <w:rFonts w:eastAsia="华文细黑"/>
                      <w:color w:val="000000"/>
                      <w:kern w:val="0"/>
                      <w:sz w:val="20"/>
                    </w:rPr>
                    <w:t>基本</w:t>
                  </w:r>
                </w:p>
                <w:p>
                  <w:pPr>
                    <w:widowControl/>
                    <w:jc w:val="center"/>
                    <w:rPr>
                      <w:rFonts w:eastAsia="华文细黑"/>
                      <w:color w:val="000000"/>
                      <w:kern w:val="0"/>
                      <w:sz w:val="20"/>
                    </w:rPr>
                  </w:pPr>
                  <w:r>
                    <w:rPr>
                      <w:rFonts w:eastAsia="华文细黑"/>
                      <w:color w:val="000000"/>
                      <w:kern w:val="0"/>
                      <w:sz w:val="20"/>
                    </w:rPr>
                    <w:t>支出</w:t>
                  </w:r>
                </w:p>
                <w:p>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事业单位</w:t>
                  </w:r>
                </w:p>
                <w:p>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对附属                                           单位补                                      助支出</w:t>
                  </w:r>
                </w:p>
              </w:tc>
            </w:tr>
            <w:tr>
              <w:tblPrEx>
                <w:tblCellMar>
                  <w:top w:w="15" w:type="dxa"/>
                  <w:left w:w="15" w:type="dxa"/>
                  <w:bottom w:w="15" w:type="dxa"/>
                  <w:right w:w="15" w:type="dxa"/>
                </w:tblCellMar>
              </w:tblPrEx>
              <w:trPr>
                <w:trHeight w:val="531"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855.22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855.22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政府办公厅及相关事务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855.22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855.22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297.52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297.52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557.70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557.70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184.24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184.24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2.55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基层政权和社区治理</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175.09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175.09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116.73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116.73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58.36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58.36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51.80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51.80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11.46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事业</w:t>
                  </w:r>
                  <w:r>
                    <w:rPr>
                      <w:rFonts w:hint="eastAsia" w:ascii="宋体" w:hAnsi="宋体" w:eastAsia="宋体" w:cs="宋体"/>
                      <w:color w:val="000000"/>
                      <w:kern w:val="0"/>
                      <w:sz w:val="20"/>
                      <w:szCs w:val="20"/>
                    </w:rPr>
                    <w:t>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35.23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35.23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公务员医疗补助</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5.11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25"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87.53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87.53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87.53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87.53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1178.79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1178.79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tbl>
      <w:tblPr>
        <w:tblStyle w:val="9"/>
        <w:tblpPr w:leftFromText="180" w:rightFromText="180" w:vertAnchor="page" w:horzAnchor="page" w:tblpX="1151" w:tblpY="2437"/>
        <w:tblOverlap w:val="never"/>
        <w:tblW w:w="9880" w:type="dxa"/>
        <w:tblInd w:w="0" w:type="dxa"/>
        <w:tblLayout w:type="fixed"/>
        <w:tblCellMar>
          <w:top w:w="0" w:type="dxa"/>
          <w:left w:w="108" w:type="dxa"/>
          <w:bottom w:w="0" w:type="dxa"/>
          <w:right w:w="108" w:type="dxa"/>
        </w:tblCellMar>
      </w:tblPr>
      <w:tblGrid>
        <w:gridCol w:w="1892"/>
        <w:gridCol w:w="926"/>
        <w:gridCol w:w="988"/>
        <w:gridCol w:w="425"/>
        <w:gridCol w:w="1721"/>
        <w:gridCol w:w="1004"/>
        <w:gridCol w:w="925"/>
        <w:gridCol w:w="423"/>
        <w:gridCol w:w="804"/>
        <w:gridCol w:w="772"/>
      </w:tblGrid>
      <w:tr>
        <w:tblPrEx>
          <w:tblCellMar>
            <w:top w:w="0" w:type="dxa"/>
            <w:left w:w="108" w:type="dxa"/>
            <w:bottom w:w="0" w:type="dxa"/>
            <w:right w:w="108" w:type="dxa"/>
          </w:tblCellMar>
        </w:tblPrEx>
        <w:trPr>
          <w:trHeight w:val="663" w:hRule="atLeast"/>
        </w:trPr>
        <w:tc>
          <w:tcPr>
            <w:tcW w:w="9880" w:type="dxa"/>
            <w:gridSpan w:val="10"/>
            <w:tcBorders>
              <w:top w:val="nil"/>
              <w:left w:val="nil"/>
              <w:bottom w:val="nil"/>
              <w:right w:val="nil"/>
            </w:tcBorders>
            <w:noWrap w:val="0"/>
            <w:vAlign w:val="center"/>
          </w:tcPr>
          <w:p>
            <w:pPr>
              <w:ind w:firstLine="2640" w:firstLineChars="600"/>
              <w:rPr>
                <w:rFonts w:eastAsia="方正小标宋简体"/>
                <w:kern w:val="0"/>
                <w:sz w:val="44"/>
                <w:szCs w:val="44"/>
              </w:rPr>
            </w:pPr>
            <w:r>
              <w:rPr>
                <w:rFonts w:hint="eastAsia" w:asciiTheme="majorEastAsia" w:hAnsiTheme="majorEastAsia" w:eastAsiaTheme="majorEastAsia" w:cstheme="majorEastAsia"/>
                <w:kern w:val="0"/>
                <w:sz w:val="44"/>
                <w:szCs w:val="44"/>
              </w:rPr>
              <w:t>财政拨款收支预算表</w:t>
            </w:r>
          </w:p>
        </w:tc>
      </w:tr>
      <w:tr>
        <w:tblPrEx>
          <w:tblCellMar>
            <w:top w:w="0" w:type="dxa"/>
            <w:left w:w="108" w:type="dxa"/>
            <w:bottom w:w="0" w:type="dxa"/>
            <w:right w:w="108" w:type="dxa"/>
          </w:tblCellMar>
        </w:tblPrEx>
        <w:trPr>
          <w:trHeight w:val="583" w:hRule="atLeast"/>
        </w:trPr>
        <w:tc>
          <w:tcPr>
            <w:tcW w:w="9880" w:type="dxa"/>
            <w:gridSpan w:val="10"/>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528" w:hRule="atLeast"/>
        </w:trPr>
        <w:tc>
          <w:tcPr>
            <w:tcW w:w="1892"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2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w:t>
            </w:r>
            <w:r>
              <w:rPr>
                <w:rFonts w:hint="eastAsia" w:eastAsia="宋体"/>
                <w:kern w:val="0"/>
                <w:sz w:val="20"/>
                <w:lang w:eastAsia="zh-CN"/>
              </w:rPr>
              <w:t>数</w:t>
            </w:r>
          </w:p>
        </w:tc>
        <w:tc>
          <w:tcPr>
            <w:tcW w:w="988"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425"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100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4</w:t>
            </w:r>
            <w:r>
              <w:rPr>
                <w:rFonts w:hint="eastAsia" w:eastAsia="宋体"/>
                <w:kern w:val="0"/>
                <w:sz w:val="20"/>
              </w:rPr>
              <w:t>年预算</w:t>
            </w:r>
            <w:r>
              <w:rPr>
                <w:rFonts w:hint="eastAsia" w:eastAsia="宋体"/>
                <w:kern w:val="0"/>
                <w:sz w:val="20"/>
                <w:lang w:eastAsia="zh-CN"/>
              </w:rPr>
              <w:t>数</w:t>
            </w: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一般公共预算</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政府性基金预算</w:t>
            </w:r>
          </w:p>
        </w:tc>
      </w:tr>
      <w:tr>
        <w:tblPrEx>
          <w:tblCellMar>
            <w:top w:w="0" w:type="dxa"/>
            <w:left w:w="108" w:type="dxa"/>
            <w:bottom w:w="0" w:type="dxa"/>
            <w:right w:w="108" w:type="dxa"/>
          </w:tblCellMar>
        </w:tblPrEx>
        <w:trPr>
          <w:trHeight w:val="955" w:hRule="atLeast"/>
        </w:trPr>
        <w:tc>
          <w:tcPr>
            <w:tcW w:w="1892"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26"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004"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4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tblPrEx>
          <w:tblCellMar>
            <w:top w:w="0" w:type="dxa"/>
            <w:left w:w="108" w:type="dxa"/>
            <w:bottom w:w="0" w:type="dxa"/>
            <w:right w:w="108" w:type="dxa"/>
          </w:tblCellMar>
        </w:tblPrEx>
        <w:trPr>
          <w:trHeight w:val="52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一、一般公共服务</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bidi="ar-SA"/>
              </w:rPr>
              <w:t>855.22</w:t>
            </w: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bidi="ar-SA"/>
              </w:rPr>
              <w:t>855.22</w:t>
            </w: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bidi="ar-SA"/>
              </w:rPr>
              <w:t>184.24</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bidi="ar-SA"/>
              </w:rPr>
              <w:t>184.24</w:t>
            </w: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bidi="ar-SA"/>
              </w:rPr>
              <w:t>51.80</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bidi="ar-SA"/>
              </w:rPr>
              <w:t>51.80</w:t>
            </w: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四、住房保障支出</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bidi="ar-SA"/>
              </w:rPr>
              <w:t>87.53</w:t>
            </w:r>
          </w:p>
        </w:tc>
        <w:tc>
          <w:tcPr>
            <w:tcW w:w="92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bidi="ar-SA"/>
              </w:rPr>
              <w:t>87.53</w:t>
            </w: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r>
              <w:rPr>
                <w:rFonts w:eastAsia="宋体"/>
                <w:b/>
                <w:bCs/>
                <w:kern w:val="0"/>
                <w:sz w:val="20"/>
              </w:rPr>
              <w:t>本年收入合计</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b/>
                <w:bCs/>
                <w:kern w:val="0"/>
                <w:sz w:val="20"/>
              </w:rPr>
              <w:t>本年支出合计</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1178.79</w:t>
            </w: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color w:val="000000"/>
                <w:kern w:val="0"/>
                <w:sz w:val="20"/>
                <w:lang w:val="en-US" w:eastAsia="zh-CN"/>
              </w:rPr>
              <w:t>1178.79</w:t>
            </w: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r>
              <w:rPr>
                <w:rFonts w:hint="eastAsia" w:eastAsia="宋体"/>
                <w:bCs/>
                <w:kern w:val="0"/>
                <w:sz w:val="20"/>
              </w:rPr>
              <w:t>财政拨款结转</w:t>
            </w:r>
          </w:p>
        </w:tc>
        <w:tc>
          <w:tcPr>
            <w:tcW w:w="92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rPr>
            </w:pPr>
            <w:r>
              <w:rPr>
                <w:rFonts w:eastAsia="宋体"/>
                <w:kern w:val="0"/>
                <w:sz w:val="20"/>
              </w:rPr>
              <w:t>结转下年</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一般公共预算拨款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政府性基金预算拨款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rPr>
            </w:pPr>
            <w:r>
              <w:rPr>
                <w:rFonts w:eastAsia="宋体"/>
                <w:kern w:val="0"/>
                <w:sz w:val="20"/>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hint="eastAsia" w:eastAsia="宋体"/>
                <w:sz w:val="20"/>
              </w:rPr>
              <w:t>国有资本经营预算拨款</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sz w:val="20"/>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sz w:val="20"/>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lang w:val="en-US" w:eastAsia="zh-CN" w:bidi="ar-SA"/>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lang w:val="en-US" w:eastAsia="zh-CN" w:bidi="ar-SA"/>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47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支出总计</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9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val="en-US" w:eastAsia="zh-CN" w:bidi="ar-SA"/>
              </w:rPr>
            </w:pPr>
            <w:r>
              <w:rPr>
                <w:rFonts w:hint="eastAsia" w:ascii="宋体" w:hAnsi="宋体" w:eastAsia="宋体" w:cs="宋体"/>
                <w:kern w:val="0"/>
                <w:sz w:val="20"/>
                <w:lang w:val="en-US" w:eastAsia="zh-CN"/>
              </w:rPr>
              <w:t>1178.79</w:t>
            </w:r>
          </w:p>
        </w:tc>
        <w:tc>
          <w:tcPr>
            <w:tcW w:w="42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ind w:firstLine="640" w:firstLineChars="200"/>
        <w:rPr>
          <w:rFonts w:hAnsi="楷体" w:eastAsia="楷体"/>
        </w:rPr>
      </w:pPr>
    </w:p>
    <w:p>
      <w:pPr>
        <w:rPr>
          <w:rFonts w:eastAsia="楷体"/>
        </w:rPr>
      </w:pP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4452"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pPr>
                    <w:widowControl/>
                    <w:jc w:val="center"/>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kern w:val="0"/>
                      <w:sz w:val="44"/>
                      <w:szCs w:val="44"/>
                    </w:rPr>
                    <w:t>一般公共预算支出表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472"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855.22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855.22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722.20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政府办公厅及相关事务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855.22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855.22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722.20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297.52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164.50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557.70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default" w:ascii="宋体" w:hAnsi="宋体" w:eastAsia="宋体" w:cs="宋体"/>
                      <w:color w:val="000000"/>
                      <w:kern w:val="0"/>
                      <w:sz w:val="20"/>
                      <w:szCs w:val="20"/>
                      <w:lang w:val="en-US"/>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184.24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184.24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基层政权和社区治理</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175.09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175.09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116.73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0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58.36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200" w:firstLineChars="1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1.61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5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400" w:firstLineChars="20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r>
                    <w:rPr>
                      <w:rFonts w:hint="eastAsia" w:ascii="宋体" w:hAnsi="宋体" w:eastAsia="宋体" w:cs="宋体"/>
                      <w:color w:val="000000"/>
                      <w:kern w:val="0"/>
                      <w:sz w:val="20"/>
                      <w:szCs w:val="20"/>
                      <w:lang w:val="en-US" w:eastAsia="zh-CN"/>
                    </w:rPr>
                    <w:t>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6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5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事业</w:t>
                  </w:r>
                  <w:r>
                    <w:rPr>
                      <w:rFonts w:hint="eastAsia" w:ascii="宋体" w:hAnsi="宋体" w:eastAsia="宋体" w:cs="宋体"/>
                      <w:color w:val="000000"/>
                      <w:kern w:val="0"/>
                      <w:sz w:val="20"/>
                      <w:szCs w:val="20"/>
                    </w:rPr>
                    <w:t>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35.23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公务员医疗补助</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88"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42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87.53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Theme="minorEastAsia" w:hAnsiTheme="minorEastAsia" w:eastAsiaTheme="minorEastAsia" w:cstheme="minorEastAsia"/>
                      <w:color w:val="000000"/>
                      <w:kern w:val="0"/>
                      <w:sz w:val="20"/>
                      <w:szCs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21.4</w:t>
                  </w:r>
                  <w:r>
                    <w:rPr>
                      <w:rFonts w:hint="eastAsia" w:ascii="宋体" w:hAnsi="宋体" w:eastAsia="宋体" w:cs="宋体"/>
                      <w:color w:val="000000"/>
                      <w:kern w:val="0"/>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1178.79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1178.79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855.22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855.22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245.82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133.02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jc w:val="center"/>
        <w:rPr>
          <w:rFonts w:hint="eastAsia" w:asciiTheme="majorEastAsia" w:hAnsiTheme="majorEastAsia" w:eastAsiaTheme="majorEastAsia" w:cstheme="majorEastAsia"/>
          <w:color w:val="000000"/>
          <w:kern w:val="0"/>
          <w:sz w:val="44"/>
          <w:szCs w:val="44"/>
          <w:lang w:bidi="ar"/>
        </w:rPr>
      </w:pPr>
      <w:r>
        <w:rPr>
          <w:rFonts w:hint="eastAsia" w:asciiTheme="majorEastAsia" w:hAnsiTheme="majorEastAsia" w:eastAsiaTheme="majorEastAsia" w:cstheme="majorEastAsia"/>
          <w:color w:val="000000"/>
          <w:kern w:val="0"/>
          <w:sz w:val="44"/>
          <w:szCs w:val="44"/>
          <w:lang w:bidi="ar"/>
        </w:rPr>
        <w:t>本年一般公共预算支出明细表</w:t>
      </w:r>
    </w:p>
    <w:p>
      <w:pPr>
        <w:jc w:val="center"/>
        <w:rPr>
          <w:rFonts w:hint="eastAsia" w:asciiTheme="majorEastAsia" w:hAnsiTheme="majorEastAsia" w:eastAsiaTheme="majorEastAsia" w:cstheme="majorEastAsia"/>
          <w:color w:val="000000"/>
          <w:kern w:val="0"/>
          <w:sz w:val="44"/>
          <w:szCs w:val="44"/>
          <w:lang w:bidi="ar"/>
        </w:rPr>
      </w:pPr>
    </w:p>
    <w:tbl>
      <w:tblPr>
        <w:tblStyle w:val="9"/>
        <w:tblW w:w="9776" w:type="dxa"/>
        <w:tblInd w:w="0" w:type="dxa"/>
        <w:tblLayout w:type="fixed"/>
        <w:tblCellMar>
          <w:top w:w="0" w:type="dxa"/>
          <w:left w:w="0" w:type="dxa"/>
          <w:bottom w:w="0" w:type="dxa"/>
          <w:right w:w="0" w:type="dxa"/>
        </w:tblCellMar>
      </w:tblPr>
      <w:tblGrid>
        <w:gridCol w:w="1125"/>
        <w:gridCol w:w="1200"/>
        <w:gridCol w:w="1062"/>
        <w:gridCol w:w="1207"/>
        <w:gridCol w:w="1153"/>
        <w:gridCol w:w="1047"/>
        <w:gridCol w:w="994"/>
        <w:gridCol w:w="994"/>
        <w:gridCol w:w="994"/>
      </w:tblGrid>
      <w:tr>
        <w:tblPrEx>
          <w:tblCellMar>
            <w:top w:w="0" w:type="dxa"/>
            <w:left w:w="0" w:type="dxa"/>
            <w:bottom w:w="0" w:type="dxa"/>
            <w:right w:w="0" w:type="dxa"/>
          </w:tblCellMar>
        </w:tblPrEx>
        <w:trPr>
          <w:trHeight w:val="660" w:hRule="atLeast"/>
        </w:trPr>
        <w:tc>
          <w:tcPr>
            <w:tcW w:w="977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方正小标宋简体" w:hAnsi="方正小标宋简体" w:eastAsia="方正小标宋简体" w:cs="方正小标宋简体"/>
                <w:color w:val="000000"/>
                <w:sz w:val="44"/>
                <w:szCs w:val="44"/>
              </w:rPr>
            </w:pPr>
            <w:r>
              <w:rPr>
                <w:rFonts w:hint="eastAsia" w:ascii="宋体" w:hAnsi="宋体" w:eastAsia="宋体" w:cs="宋体"/>
                <w:color w:val="000000"/>
                <w:kern w:val="0"/>
                <w:sz w:val="24"/>
                <w:szCs w:val="24"/>
                <w:lang w:bidi="ar"/>
              </w:rPr>
              <w:t>单位：万元</w:t>
            </w:r>
          </w:p>
        </w:tc>
      </w:tr>
      <w:tr>
        <w:tblPrEx>
          <w:tblCellMar>
            <w:top w:w="0" w:type="dxa"/>
            <w:left w:w="0" w:type="dxa"/>
            <w:bottom w:w="0" w:type="dxa"/>
            <w:right w:w="0" w:type="dxa"/>
          </w:tblCellMar>
        </w:tblPrEx>
        <w:trPr>
          <w:trHeight w:val="354" w:hRule="atLeast"/>
        </w:trPr>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科目编码</w:t>
            </w:r>
          </w:p>
        </w:tc>
        <w:tc>
          <w:tcPr>
            <w:tcW w:w="10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单位代码</w:t>
            </w:r>
          </w:p>
        </w:tc>
        <w:tc>
          <w:tcPr>
            <w:tcW w:w="12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单位名称</w:t>
            </w:r>
          </w:p>
        </w:tc>
        <w:tc>
          <w:tcPr>
            <w:tcW w:w="518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一般公共预算财政拨款</w:t>
            </w:r>
          </w:p>
        </w:tc>
      </w:tr>
      <w:tr>
        <w:tblPrEx>
          <w:tblCellMar>
            <w:top w:w="0" w:type="dxa"/>
            <w:left w:w="0" w:type="dxa"/>
            <w:bottom w:w="0" w:type="dxa"/>
            <w:right w:w="0" w:type="dxa"/>
          </w:tblCellMar>
        </w:tblPrEx>
        <w:trPr>
          <w:trHeight w:val="354"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szCs w:val="24"/>
              </w:rPr>
            </w:pPr>
          </w:p>
        </w:tc>
        <w:tc>
          <w:tcPr>
            <w:tcW w:w="115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总计</w:t>
            </w:r>
          </w:p>
        </w:tc>
        <w:tc>
          <w:tcPr>
            <w:tcW w:w="30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基本支出</w:t>
            </w:r>
          </w:p>
        </w:tc>
        <w:tc>
          <w:tcPr>
            <w:tcW w:w="9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项目支出</w:t>
            </w:r>
          </w:p>
        </w:tc>
      </w:tr>
      <w:tr>
        <w:tblPrEx>
          <w:tblCellMar>
            <w:top w:w="0" w:type="dxa"/>
            <w:left w:w="0" w:type="dxa"/>
            <w:bottom w:w="0" w:type="dxa"/>
            <w:right w:w="0" w:type="dxa"/>
          </w:tblCellMar>
        </w:tblPrEx>
        <w:trPr>
          <w:trHeight w:val="300"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szCs w:val="24"/>
              </w:rPr>
            </w:pPr>
          </w:p>
        </w:tc>
        <w:tc>
          <w:tcPr>
            <w:tcW w:w="115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合计</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人员经费</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Verdana" w:hAnsi="Verdana" w:eastAsia="宋体" w:cs="Verdana"/>
                <w:b/>
                <w:color w:val="000000"/>
                <w:sz w:val="24"/>
                <w:szCs w:val="24"/>
              </w:rPr>
            </w:pPr>
            <w:r>
              <w:rPr>
                <w:rFonts w:ascii="Verdana" w:hAnsi="Verdana" w:eastAsia="宋体" w:cs="Verdana"/>
                <w:b/>
                <w:color w:val="000000"/>
                <w:kern w:val="0"/>
                <w:sz w:val="24"/>
                <w:szCs w:val="24"/>
                <w:lang w:bidi="ar"/>
              </w:rPr>
              <w:t>公用经费</w:t>
            </w:r>
          </w:p>
        </w:tc>
        <w:tc>
          <w:tcPr>
            <w:tcW w:w="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Verdana" w:hAnsi="Verdana" w:eastAsia="宋体" w:cs="Verdana"/>
                <w:b/>
                <w:color w:val="000000"/>
                <w:sz w:val="24"/>
                <w:szCs w:val="24"/>
              </w:rPr>
            </w:pPr>
          </w:p>
        </w:tc>
      </w:tr>
      <w:tr>
        <w:tblPrEx>
          <w:tblCellMar>
            <w:top w:w="0" w:type="dxa"/>
            <w:left w:w="0" w:type="dxa"/>
            <w:bottom w:w="0" w:type="dxa"/>
            <w:right w:w="0" w:type="dxa"/>
          </w:tblCellMar>
        </w:tblPrEx>
        <w:trPr>
          <w:trHeight w:val="85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b/>
                <w:bCs/>
                <w:color w:val="000000"/>
                <w:kern w:val="0"/>
                <w:sz w:val="20"/>
                <w:szCs w:val="20"/>
              </w:rPr>
              <w:t>合计</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rPr>
              <w:t>1178.79</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1178.79</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1178.79</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698"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　</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梨树县刘家馆镇</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1178.79</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1178.79</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1178.79</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563"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ascii="仿宋" w:hAnsi="仿宋" w:eastAsia="仿宋" w:cs="Verdana"/>
                <w:color w:val="000000"/>
                <w:sz w:val="21"/>
                <w:szCs w:val="21"/>
              </w:rPr>
            </w:pPr>
            <w:r>
              <w:rPr>
                <w:rFonts w:hint="eastAsia" w:ascii="宋体" w:hAnsi="宋体" w:eastAsia="宋体" w:cs="宋体"/>
                <w:kern w:val="0"/>
                <w:sz w:val="24"/>
                <w:szCs w:val="24"/>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2010301</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行政运行</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rPr>
              <w:t>297.52</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297.52</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rPr>
              <w:t>164.50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133.02</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681"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2010350</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事业运行</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lang w:val="en-US"/>
              </w:rPr>
            </w:pPr>
            <w:r>
              <w:rPr>
                <w:rFonts w:hint="eastAsia" w:ascii="宋体" w:hAnsi="宋体" w:eastAsia="宋体" w:cs="宋体"/>
                <w:kern w:val="0"/>
                <w:sz w:val="20"/>
                <w:szCs w:val="20"/>
                <w:lang w:val="en-US" w:eastAsia="zh-CN"/>
              </w:rPr>
              <w:t>557.70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557.70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557.70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lang w:val="en-US" w:eastAsia="zh-CN"/>
              </w:rPr>
              <w:t>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2080208</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基层政权建设和社区治理</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lang w:val="en-US"/>
              </w:rPr>
            </w:pPr>
            <w:r>
              <w:rPr>
                <w:rFonts w:hint="eastAsia" w:ascii="宋体" w:hAnsi="宋体" w:eastAsia="宋体" w:cs="宋体"/>
                <w:kern w:val="0"/>
                <w:sz w:val="20"/>
                <w:szCs w:val="20"/>
                <w:lang w:val="en-US" w:eastAsia="zh-CN"/>
              </w:rPr>
              <w:t>2.55</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2.55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2.55</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30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lang w:val="en-US" w:eastAsia="zh-CN"/>
              </w:rPr>
              <w:t>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2080505</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机关事业单位基本养老保险缴费支出</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lang w:val="en-US"/>
              </w:rPr>
            </w:pPr>
            <w:r>
              <w:rPr>
                <w:rFonts w:hint="eastAsia" w:ascii="宋体" w:hAnsi="宋体" w:eastAsia="宋体" w:cs="宋体"/>
                <w:kern w:val="0"/>
                <w:sz w:val="20"/>
                <w:szCs w:val="20"/>
                <w:lang w:val="en-US" w:eastAsia="zh-CN"/>
              </w:rPr>
              <w:t>116.73</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116.73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116.73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760"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lang w:val="en-US" w:eastAsia="zh-CN"/>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2080506</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机关事业单位职业年金缴费支出</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lang w:val="en-US"/>
              </w:rPr>
            </w:pPr>
            <w:r>
              <w:rPr>
                <w:rFonts w:hint="eastAsia" w:ascii="宋体" w:hAnsi="宋体" w:eastAsia="宋体" w:cs="宋体"/>
                <w:kern w:val="0"/>
                <w:sz w:val="20"/>
                <w:szCs w:val="20"/>
                <w:lang w:val="en-US" w:eastAsia="zh-CN"/>
              </w:rPr>
              <w:t>58.36</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58.36</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58.36</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839"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 w:hAnsi="仿宋" w:eastAsia="仿宋" w:cs="Verdana"/>
                <w:color w:val="000000"/>
                <w:sz w:val="21"/>
                <w:szCs w:val="21"/>
                <w:lang w:eastAsia="zh-CN"/>
              </w:rPr>
            </w:pPr>
            <w:r>
              <w:rPr>
                <w:rFonts w:hint="eastAsia" w:ascii="宋体" w:hAnsi="宋体" w:eastAsia="宋体" w:cs="宋体"/>
                <w:kern w:val="0"/>
                <w:sz w:val="24"/>
                <w:szCs w:val="24"/>
                <w:lang w:val="en-US" w:eastAsia="zh-CN"/>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2089999</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color w:val="000000"/>
                <w:sz w:val="20"/>
                <w:szCs w:val="20"/>
              </w:rPr>
            </w:pPr>
            <w:r>
              <w:rPr>
                <w:rFonts w:hint="eastAsia" w:ascii="宋体" w:hAnsi="宋体" w:eastAsia="宋体" w:cs="宋体"/>
                <w:kern w:val="0"/>
                <w:sz w:val="20"/>
                <w:szCs w:val="20"/>
              </w:rPr>
              <w:t>其他社会保障和就业支出</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lang w:val="en-US" w:eastAsia="zh-CN"/>
              </w:rPr>
            </w:pPr>
            <w:r>
              <w:rPr>
                <w:rFonts w:hint="eastAsia" w:ascii="宋体" w:hAnsi="宋体" w:eastAsia="宋体" w:cs="宋体"/>
                <w:kern w:val="0"/>
                <w:sz w:val="20"/>
                <w:szCs w:val="20"/>
                <w:lang w:val="en-US" w:eastAsia="zh-CN"/>
              </w:rPr>
              <w:t>6.60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sz w:val="20"/>
                <w:szCs w:val="20"/>
              </w:rPr>
            </w:pPr>
            <w:r>
              <w:rPr>
                <w:rFonts w:hint="eastAsia" w:ascii="宋体" w:hAnsi="宋体" w:eastAsia="宋体" w:cs="宋体"/>
                <w:kern w:val="0"/>
                <w:sz w:val="20"/>
                <w:szCs w:val="20"/>
                <w:lang w:val="en-US" w:eastAsia="zh-CN"/>
              </w:rPr>
              <w:t>6.60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kern w:val="0"/>
                <w:sz w:val="20"/>
                <w:szCs w:val="20"/>
                <w:lang w:val="en-US" w:eastAsia="zh-CN"/>
              </w:rPr>
              <w:t>6.60</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839"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2101101</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kern w:val="0"/>
                <w:sz w:val="20"/>
                <w:szCs w:val="20"/>
              </w:rPr>
              <w:t>行政单位医疗</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11.46</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11.46</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11.46</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839"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2101102</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kern w:val="0"/>
                <w:sz w:val="20"/>
                <w:szCs w:val="20"/>
              </w:rPr>
              <w:t>事业单位医疗</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35.23</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35.23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35.23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682"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2101103</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kern w:val="0"/>
                <w:sz w:val="20"/>
                <w:szCs w:val="20"/>
              </w:rPr>
              <w:t>公务员医疗补助</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5.11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5.11</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5.11</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r>
        <w:tblPrEx>
          <w:tblCellMar>
            <w:top w:w="0" w:type="dxa"/>
            <w:left w:w="0" w:type="dxa"/>
            <w:bottom w:w="0" w:type="dxa"/>
            <w:right w:w="0" w:type="dxa"/>
          </w:tblCellMar>
        </w:tblPrEx>
        <w:trPr>
          <w:trHeight w:val="666"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2210201</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sz w:val="20"/>
                <w:szCs w:val="20"/>
              </w:rPr>
            </w:pPr>
            <w:r>
              <w:rPr>
                <w:rFonts w:hint="eastAsia" w:ascii="宋体" w:hAnsi="宋体" w:eastAsia="宋体" w:cs="宋体"/>
                <w:kern w:val="0"/>
                <w:sz w:val="20"/>
                <w:szCs w:val="20"/>
              </w:rPr>
              <w:t>住房公积金</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87.53</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87.53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87.53</w:t>
            </w: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c>
          <w:tcPr>
            <w:tcW w:w="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0"/>
                <w:szCs w:val="20"/>
              </w:rPr>
            </w:pPr>
          </w:p>
        </w:tc>
      </w:tr>
    </w:tbl>
    <w:p>
      <w:pPr>
        <w:ind w:firstLine="640" w:firstLineChars="200"/>
        <w:rPr>
          <w:rFonts w:eastAsia="楷体"/>
        </w:rPr>
      </w:pPr>
    </w:p>
    <w:p>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hint="eastAsia" w:asciiTheme="majorEastAsia" w:hAnsiTheme="majorEastAsia" w:eastAsiaTheme="majorEastAsia" w:cstheme="majorEastAsia"/>
                <w:kern w:val="0"/>
                <w:sz w:val="44"/>
                <w:szCs w:val="44"/>
              </w:rPr>
              <w:t>一般公共预算基本支出表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525"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公用经费</w:t>
            </w:r>
          </w:p>
        </w:tc>
      </w:tr>
      <w:tr>
        <w:tblPrEx>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1042.07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1042.07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8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361.38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361.38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45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329.23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329.23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3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27.89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27.89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116.73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116.73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58.36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58.36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45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46.69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46.69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68"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5.11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5.11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4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6.60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6.60</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87.53</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87.53</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34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2.55</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2.55</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rPr>
            </w:pP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133.02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133.02</w:t>
            </w:r>
          </w:p>
        </w:tc>
      </w:tr>
      <w:tr>
        <w:tblPrEx>
          <w:tblCellMar>
            <w:top w:w="0" w:type="dxa"/>
            <w:left w:w="108" w:type="dxa"/>
            <w:bottom w:w="0" w:type="dxa"/>
            <w:right w:w="108" w:type="dxa"/>
          </w:tblCellMar>
        </w:tblPrEx>
        <w:trPr>
          <w:trHeight w:val="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20.00</w:t>
            </w:r>
          </w:p>
        </w:tc>
      </w:tr>
      <w:tr>
        <w:tblPrEx>
          <w:tblCellMar>
            <w:top w:w="0" w:type="dxa"/>
            <w:left w:w="108" w:type="dxa"/>
            <w:bottom w:w="0" w:type="dxa"/>
            <w:right w:w="108" w:type="dxa"/>
          </w:tblCellMar>
        </w:tblPrEx>
        <w:trPr>
          <w:trHeight w:val="2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9.00</w:t>
            </w:r>
          </w:p>
        </w:tc>
      </w:tr>
      <w:tr>
        <w:tblPrEx>
          <w:tblCellMar>
            <w:top w:w="0" w:type="dxa"/>
            <w:left w:w="108" w:type="dxa"/>
            <w:bottom w:w="0" w:type="dxa"/>
            <w:right w:w="108" w:type="dxa"/>
          </w:tblCellMar>
        </w:tblPrEx>
        <w:trPr>
          <w:trHeight w:val="3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25.00</w:t>
            </w:r>
          </w:p>
        </w:tc>
      </w:tr>
      <w:tr>
        <w:tblPrEx>
          <w:tblCellMar>
            <w:top w:w="0" w:type="dxa"/>
            <w:left w:w="108" w:type="dxa"/>
            <w:bottom w:w="0" w:type="dxa"/>
            <w:right w:w="108" w:type="dxa"/>
          </w:tblCellMar>
        </w:tblPrEx>
        <w:trPr>
          <w:trHeight w:val="4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25.00</w:t>
            </w:r>
          </w:p>
        </w:tc>
      </w:tr>
      <w:tr>
        <w:tblPrEx>
          <w:tblCellMar>
            <w:top w:w="0" w:type="dxa"/>
            <w:left w:w="108" w:type="dxa"/>
            <w:bottom w:w="0" w:type="dxa"/>
            <w:right w:w="108" w:type="dxa"/>
          </w:tblCellMar>
        </w:tblPrEx>
        <w:trPr>
          <w:trHeight w:val="302"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5.00</w:t>
            </w:r>
          </w:p>
        </w:tc>
      </w:tr>
      <w:tr>
        <w:tblPrEx>
          <w:tblCellMar>
            <w:top w:w="0" w:type="dxa"/>
            <w:left w:w="108" w:type="dxa"/>
            <w:bottom w:w="0" w:type="dxa"/>
            <w:right w:w="108" w:type="dxa"/>
          </w:tblCellMar>
        </w:tblPrEx>
        <w:trPr>
          <w:trHeight w:val="36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0.20</w:t>
            </w:r>
          </w:p>
        </w:tc>
      </w:tr>
      <w:tr>
        <w:tblPrEx>
          <w:tblCellMar>
            <w:top w:w="0" w:type="dxa"/>
            <w:left w:w="108" w:type="dxa"/>
            <w:bottom w:w="0" w:type="dxa"/>
            <w:right w:w="108" w:type="dxa"/>
          </w:tblCellMar>
        </w:tblPrEx>
        <w:trPr>
          <w:trHeight w:val="30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16.00</w:t>
            </w:r>
          </w:p>
        </w:tc>
      </w:tr>
      <w:tr>
        <w:tblPrEx>
          <w:tblCellMar>
            <w:top w:w="0" w:type="dxa"/>
            <w:left w:w="108" w:type="dxa"/>
            <w:bottom w:w="0" w:type="dxa"/>
            <w:right w:w="108" w:type="dxa"/>
          </w:tblCellMar>
        </w:tblPrEx>
        <w:trPr>
          <w:trHeight w:val="378"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ind w:firstLine="200" w:firstLineChars="10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rPr>
              <w:t>4.00</w:t>
            </w:r>
          </w:p>
        </w:tc>
      </w:tr>
      <w:tr>
        <w:tblPrEx>
          <w:tblCellMar>
            <w:top w:w="0" w:type="dxa"/>
            <w:left w:w="108" w:type="dxa"/>
            <w:bottom w:w="0" w:type="dxa"/>
            <w:right w:w="108" w:type="dxa"/>
          </w:tblCellMar>
        </w:tblPrEx>
        <w:trPr>
          <w:trHeight w:val="39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lang w:bidi="ar"/>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.00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.00</w:t>
            </w:r>
          </w:p>
        </w:tc>
      </w:tr>
      <w:tr>
        <w:tblPrEx>
          <w:tblCellMar>
            <w:top w:w="0" w:type="dxa"/>
            <w:left w:w="108" w:type="dxa"/>
            <w:bottom w:w="0" w:type="dxa"/>
            <w:right w:w="108" w:type="dxa"/>
          </w:tblCellMar>
        </w:tblPrEx>
        <w:trPr>
          <w:trHeight w:val="3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3.02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3.02</w:t>
            </w:r>
          </w:p>
        </w:tc>
      </w:tr>
      <w:tr>
        <w:tblPrEx>
          <w:tblCellMar>
            <w:top w:w="0" w:type="dxa"/>
            <w:left w:w="108" w:type="dxa"/>
            <w:bottom w:w="0" w:type="dxa"/>
            <w:right w:w="108" w:type="dxa"/>
          </w:tblCellMar>
        </w:tblPrEx>
        <w:trPr>
          <w:trHeight w:val="34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12.80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szCs w:val="20"/>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12.80</w:t>
            </w:r>
          </w:p>
        </w:tc>
      </w:tr>
      <w:tr>
        <w:tblPrEx>
          <w:tblCellMar>
            <w:top w:w="0" w:type="dxa"/>
            <w:left w:w="108" w:type="dxa"/>
            <w:bottom w:w="0" w:type="dxa"/>
            <w:right w:w="108" w:type="dxa"/>
          </w:tblCellMar>
        </w:tblPrEx>
        <w:trPr>
          <w:trHeight w:val="33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trHeight w:val="38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3.70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3.70</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szCs w:val="20"/>
                <w:lang w:val="en-US" w:eastAsia="zh-CN" w:bidi="ar-SA"/>
              </w:rPr>
            </w:pPr>
          </w:p>
        </w:tc>
      </w:tr>
      <w:tr>
        <w:tblPrEx>
          <w:tblCellMar>
            <w:top w:w="0" w:type="dxa"/>
            <w:left w:w="108" w:type="dxa"/>
            <w:bottom w:w="0" w:type="dxa"/>
            <w:right w:w="108" w:type="dxa"/>
          </w:tblCellMar>
        </w:tblPrEx>
        <w:trPr>
          <w:trHeight w:val="33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1178.79</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1178.79</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2"/>
                <w:sz w:val="20"/>
                <w:szCs w:val="20"/>
                <w:lang w:val="en-US" w:eastAsia="zh-CN" w:bidi="ar-SA"/>
              </w:rPr>
            </w:pPr>
          </w:p>
        </w:tc>
      </w:tr>
    </w:tbl>
    <w:p>
      <w:pPr>
        <w:rPr>
          <w:rFonts w:eastAsia="楷体"/>
        </w:rPr>
      </w:pPr>
      <w:r>
        <w:rPr>
          <w:rFonts w:hAnsi="楷体" w:eastAsia="楷体"/>
        </w:rPr>
        <w:br w:type="page"/>
      </w:r>
    </w:p>
    <w:tbl>
      <w:tblPr>
        <w:tblStyle w:val="9"/>
        <w:tblW w:w="9114" w:type="dxa"/>
        <w:jc w:val="center"/>
        <w:tblLayout w:type="fixed"/>
        <w:tblCellMar>
          <w:top w:w="0" w:type="dxa"/>
          <w:left w:w="108" w:type="dxa"/>
          <w:bottom w:w="0" w:type="dxa"/>
          <w:right w:w="108" w:type="dxa"/>
        </w:tblCellMar>
      </w:tblPr>
      <w:tblGrid>
        <w:gridCol w:w="4783"/>
        <w:gridCol w:w="1646"/>
        <w:gridCol w:w="1378"/>
        <w:gridCol w:w="1307"/>
      </w:tblGrid>
      <w:tr>
        <w:tblPrEx>
          <w:tblCellMar>
            <w:top w:w="0" w:type="dxa"/>
            <w:left w:w="108" w:type="dxa"/>
            <w:bottom w:w="0" w:type="dxa"/>
            <w:right w:w="108" w:type="dxa"/>
          </w:tblCellMar>
        </w:tblPrEx>
        <w:trPr>
          <w:trHeight w:val="1200" w:hRule="atLeast"/>
          <w:jc w:val="center"/>
        </w:trPr>
        <w:tc>
          <w:tcPr>
            <w:tcW w:w="9114" w:type="dxa"/>
            <w:gridSpan w:val="4"/>
            <w:tcBorders>
              <w:top w:val="nil"/>
              <w:left w:val="nil"/>
              <w:right w:val="nil"/>
            </w:tcBorders>
            <w:noWrap w:val="0"/>
            <w:vAlign w:val="center"/>
          </w:tcPr>
          <w:p>
            <w:pPr>
              <w:widowControl/>
              <w:jc w:val="center"/>
              <w:rPr>
                <w:rFonts w:eastAsia="宋体"/>
                <w:color w:val="000000"/>
                <w:kern w:val="0"/>
                <w:sz w:val="44"/>
                <w:szCs w:val="44"/>
              </w:rPr>
            </w:pPr>
            <w:r>
              <w:rPr>
                <w:rFonts w:hint="eastAsia" w:ascii="宋体" w:hAnsi="宋体" w:eastAsia="宋体" w:cs="宋体"/>
                <w:color w:val="000000"/>
                <w:kern w:val="0"/>
                <w:sz w:val="44"/>
                <w:szCs w:val="44"/>
              </w:rPr>
              <w:t>一般公共预算“三公”经费支出表</w:t>
            </w:r>
          </w:p>
        </w:tc>
      </w:tr>
      <w:tr>
        <w:tblPrEx>
          <w:tblCellMar>
            <w:top w:w="0" w:type="dxa"/>
            <w:left w:w="108" w:type="dxa"/>
            <w:bottom w:w="0" w:type="dxa"/>
            <w:right w:w="108" w:type="dxa"/>
          </w:tblCellMar>
        </w:tblPrEx>
        <w:trPr>
          <w:trHeight w:val="424" w:hRule="atLeast"/>
          <w:jc w:val="center"/>
        </w:trPr>
        <w:tc>
          <w:tcPr>
            <w:tcW w:w="9114" w:type="dxa"/>
            <w:gridSpan w:val="4"/>
            <w:tcBorders>
              <w:bottom w:val="single" w:color="auto" w:sz="4" w:space="0"/>
            </w:tcBorders>
            <w:noWrap w:val="0"/>
            <w:vAlign w:val="center"/>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46"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4</w:t>
            </w:r>
            <w:r>
              <w:rPr>
                <w:rFonts w:hAnsi="华文细黑" w:eastAsia="华文细黑"/>
                <w:color w:val="000000"/>
                <w:kern w:val="0"/>
                <w:sz w:val="20"/>
              </w:rPr>
              <w:t>年预算数</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当年预算</w:t>
            </w:r>
          </w:p>
        </w:tc>
        <w:tc>
          <w:tcPr>
            <w:tcW w:w="1307"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上年结转</w:t>
            </w:r>
          </w:p>
        </w:tc>
      </w:tr>
      <w:tr>
        <w:tblPrEx>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w:t>
            </w:r>
          </w:p>
        </w:tc>
        <w:tc>
          <w:tcPr>
            <w:tcW w:w="13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16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w:t>
            </w:r>
          </w:p>
        </w:tc>
        <w:tc>
          <w:tcPr>
            <w:tcW w:w="13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20"/>
                <w:lang w:val="en-US" w:eastAsia="zh-CN" w:bidi="ar-SA"/>
              </w:rPr>
            </w:pPr>
            <w:r>
              <w:rPr>
                <w:rFonts w:hint="eastAsia" w:ascii="宋体" w:hAnsi="宋体" w:eastAsia="宋体" w:cs="宋体"/>
                <w:color w:val="000000"/>
                <w:kern w:val="0"/>
                <w:sz w:val="20"/>
              </w:rPr>
              <w:t>3</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cBorders>
            <w:noWrap w:val="0"/>
            <w:vAlign w:val="center"/>
          </w:tcPr>
          <w:p>
            <w:pPr>
              <w:widowControl/>
              <w:jc w:val="left"/>
              <w:rPr>
                <w:color w:val="0000FF"/>
                <w:kern w:val="0"/>
                <w:sz w:val="28"/>
                <w:szCs w:val="28"/>
              </w:rPr>
            </w:pPr>
            <w:r>
              <w:rPr>
                <w:rFonts w:eastAsia="宋体"/>
                <w:color w:val="000000"/>
                <w:kern w:val="0"/>
                <w:sz w:val="28"/>
                <w:szCs w:val="28"/>
              </w:rPr>
              <w:t xml:space="preserve">  </w:t>
            </w:r>
            <w:r>
              <w:rPr>
                <w:color w:val="000000"/>
                <w:kern w:val="0"/>
                <w:sz w:val="28"/>
                <w:szCs w:val="28"/>
              </w:rPr>
              <w:t>说明：</w:t>
            </w:r>
            <w:r>
              <w:rPr>
                <w:color w:val="000000"/>
                <w:kern w:val="0"/>
                <w:sz w:val="28"/>
                <w:szCs w:val="28"/>
              </w:rPr>
              <w:br w:type="textWrapping"/>
            </w: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w:t>
            </w:r>
            <w:r>
              <w:rPr>
                <w:rFonts w:hint="eastAsia" w:eastAsia="宋体"/>
                <w:color w:val="000000"/>
                <w:kern w:val="0"/>
                <w:sz w:val="28"/>
                <w:szCs w:val="28"/>
                <w:lang w:val="en-US" w:eastAsia="zh-CN"/>
              </w:rPr>
              <w:t>4</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的单位范围包括部门本级及所属</w:t>
            </w:r>
            <w:r>
              <w:rPr>
                <w:rFonts w:hint="eastAsia" w:eastAsia="宋体"/>
                <w:color w:val="000000"/>
                <w:kern w:val="0"/>
                <w:sz w:val="28"/>
                <w:szCs w:val="28"/>
                <w:u w:val="single"/>
                <w:lang w:val="en-US" w:eastAsia="zh-CN"/>
              </w:rPr>
              <w:t>1</w:t>
            </w:r>
            <w:r>
              <w:rPr>
                <w:color w:val="000000"/>
                <w:kern w:val="0"/>
                <w:sz w:val="28"/>
                <w:szCs w:val="28"/>
              </w:rPr>
              <w:t>个预算单位。</w:t>
            </w:r>
            <w:r>
              <w:rPr>
                <w:rFonts w:eastAsia="宋体"/>
                <w:color w:val="000000"/>
                <w:kern w:val="0"/>
                <w:sz w:val="28"/>
                <w:szCs w:val="28"/>
              </w:rPr>
              <w:t xml:space="preserve">   </w:t>
            </w:r>
            <w:r>
              <w:rPr>
                <w:rFonts w:eastAsia="宋体"/>
                <w:color w:val="000000"/>
                <w:kern w:val="0"/>
                <w:sz w:val="28"/>
                <w:szCs w:val="28"/>
              </w:rPr>
              <w:br w:type="textWrapping"/>
            </w:r>
            <w:r>
              <w:rPr>
                <w:rFonts w:eastAsia="宋体"/>
                <w:color w:val="000000"/>
                <w:kern w:val="0"/>
                <w:sz w:val="28"/>
                <w:szCs w:val="28"/>
              </w:rPr>
              <w:t xml:space="preserve">       </w:t>
            </w:r>
            <w:r>
              <w:rPr>
                <w:rFonts w:eastAsia="宋体"/>
                <w:color w:val="000000" w:themeColor="text1"/>
                <w:kern w:val="0"/>
                <w:sz w:val="28"/>
                <w:szCs w:val="28"/>
                <w14:textFill>
                  <w14:solidFill>
                    <w14:schemeClr w14:val="tx1"/>
                  </w14:solidFill>
                </w14:textFill>
              </w:rPr>
              <w:t>2</w:t>
            </w:r>
            <w:r>
              <w:rPr>
                <w:color w:val="000000" w:themeColor="text1"/>
                <w:kern w:val="0"/>
                <w:sz w:val="28"/>
                <w:szCs w:val="28"/>
                <w14:textFill>
                  <w14:solidFill>
                    <w14:schemeClr w14:val="tx1"/>
                  </w14:solidFill>
                </w14:textFill>
              </w:rPr>
              <w:t>、</w:t>
            </w:r>
            <w:r>
              <w:rPr>
                <w:rFonts w:eastAsia="宋体"/>
                <w:color w:val="000000" w:themeColor="text1"/>
                <w:kern w:val="0"/>
                <w:sz w:val="28"/>
                <w:szCs w:val="28"/>
                <w14:textFill>
                  <w14:solidFill>
                    <w14:schemeClr w14:val="tx1"/>
                  </w14:solidFill>
                </w14:textFill>
              </w:rPr>
              <w:t>“20</w:t>
            </w:r>
            <w:r>
              <w:rPr>
                <w:rFonts w:hint="eastAsia" w:eastAsia="宋体"/>
                <w:color w:val="000000" w:themeColor="text1"/>
                <w:kern w:val="0"/>
                <w:sz w:val="28"/>
                <w:szCs w:val="28"/>
                <w14:textFill>
                  <w14:solidFill>
                    <w14:schemeClr w14:val="tx1"/>
                  </w14:solidFill>
                </w14:textFill>
              </w:rPr>
              <w:t>2</w:t>
            </w:r>
            <w:r>
              <w:rPr>
                <w:rFonts w:hint="eastAsia" w:eastAsia="宋体"/>
                <w:color w:val="000000" w:themeColor="text1"/>
                <w:kern w:val="0"/>
                <w:sz w:val="28"/>
                <w:szCs w:val="28"/>
                <w:lang w:val="en-US" w:eastAsia="zh-CN"/>
                <w14:textFill>
                  <w14:solidFill>
                    <w14:schemeClr w14:val="tx1"/>
                  </w14:solidFill>
                </w14:textFill>
              </w:rPr>
              <w:t>4</w:t>
            </w:r>
            <w:r>
              <w:rPr>
                <w:color w:val="000000" w:themeColor="text1"/>
                <w:kern w:val="0"/>
                <w:sz w:val="28"/>
                <w:szCs w:val="28"/>
                <w14:textFill>
                  <w14:solidFill>
                    <w14:schemeClr w14:val="tx1"/>
                  </w14:solidFill>
                </w14:textFill>
              </w:rPr>
              <w:t>年预算数</w:t>
            </w:r>
            <w:r>
              <w:rPr>
                <w:rFonts w:eastAsia="宋体"/>
                <w:color w:val="000000" w:themeColor="text1"/>
                <w:kern w:val="0"/>
                <w:sz w:val="28"/>
                <w:szCs w:val="28"/>
                <w14:textFill>
                  <w14:solidFill>
                    <w14:schemeClr w14:val="tx1"/>
                  </w14:solidFill>
                </w14:textFill>
              </w:rPr>
              <w:t>”</w:t>
            </w:r>
            <w:r>
              <w:rPr>
                <w:color w:val="000000" w:themeColor="text1"/>
                <w:kern w:val="0"/>
                <w:sz w:val="28"/>
                <w:szCs w:val="28"/>
                <w14:textFill>
                  <w14:solidFill>
                    <w14:schemeClr w14:val="tx1"/>
                  </w14:solidFill>
                </w14:textFill>
              </w:rPr>
              <w:t>的实有人员</w:t>
            </w:r>
            <w:r>
              <w:rPr>
                <w:rFonts w:hint="eastAsia" w:eastAsia="宋体"/>
                <w:color w:val="000000" w:themeColor="text1"/>
                <w:kern w:val="0"/>
                <w:sz w:val="28"/>
                <w:szCs w:val="28"/>
                <w:u w:val="single"/>
                <w:lang w:val="en-US" w:eastAsia="zh-CN"/>
                <w14:textFill>
                  <w14:solidFill>
                    <w14:schemeClr w14:val="tx1"/>
                  </w14:solidFill>
                </w14:textFill>
              </w:rPr>
              <w:t>117</w:t>
            </w:r>
            <w:r>
              <w:rPr>
                <w:color w:val="000000" w:themeColor="text1"/>
                <w:kern w:val="0"/>
                <w:sz w:val="28"/>
                <w:szCs w:val="28"/>
                <w14:textFill>
                  <w14:solidFill>
                    <w14:schemeClr w14:val="tx1"/>
                  </w14:solidFill>
                </w14:textFill>
              </w:rPr>
              <w:t>人，其中：在职人员</w:t>
            </w:r>
            <w:r>
              <w:rPr>
                <w:rFonts w:hint="eastAsia" w:eastAsia="宋体"/>
                <w:color w:val="000000" w:themeColor="text1"/>
                <w:kern w:val="0"/>
                <w:sz w:val="28"/>
                <w:szCs w:val="28"/>
                <w:u w:val="single"/>
                <w:lang w:val="en-US" w:eastAsia="zh-CN"/>
                <w14:textFill>
                  <w14:solidFill>
                    <w14:schemeClr w14:val="tx1"/>
                  </w14:solidFill>
                </w14:textFill>
              </w:rPr>
              <w:t>79</w:t>
            </w:r>
            <w:r>
              <w:rPr>
                <w:color w:val="000000" w:themeColor="text1"/>
                <w:kern w:val="0"/>
                <w:sz w:val="28"/>
                <w:szCs w:val="28"/>
                <w14:textFill>
                  <w14:solidFill>
                    <w14:schemeClr w14:val="tx1"/>
                  </w14:solidFill>
                </w14:textFill>
              </w:rPr>
              <w:t>人，离退休人员</w:t>
            </w:r>
            <w:r>
              <w:rPr>
                <w:rFonts w:hint="eastAsia" w:eastAsia="宋体"/>
                <w:color w:val="000000" w:themeColor="text1"/>
                <w:kern w:val="0"/>
                <w:sz w:val="28"/>
                <w:szCs w:val="28"/>
                <w:u w:val="single"/>
                <w:lang w:val="en-US" w:eastAsia="zh-CN"/>
                <w14:textFill>
                  <w14:solidFill>
                    <w14:schemeClr w14:val="tx1"/>
                  </w14:solidFill>
                </w14:textFill>
              </w:rPr>
              <w:t>38</w:t>
            </w:r>
            <w:r>
              <w:rPr>
                <w:color w:val="000000" w:themeColor="text1"/>
                <w:kern w:val="0"/>
                <w:sz w:val="28"/>
                <w:szCs w:val="28"/>
                <w14:textFill>
                  <w14:solidFill>
                    <w14:schemeClr w14:val="tx1"/>
                  </w14:solidFill>
                </w14:textFill>
              </w:rPr>
              <w:t>人。</w:t>
            </w:r>
          </w:p>
          <w:p>
            <w:pPr>
              <w:widowControl/>
              <w:jc w:val="left"/>
              <w:rPr>
                <w:rFonts w:hint="eastAsia" w:eastAsia="仿宋_GB2312"/>
                <w:color w:val="000000"/>
                <w:kern w:val="0"/>
                <w:sz w:val="28"/>
                <w:szCs w:val="28"/>
                <w:lang w:val="en-US" w:eastAsia="zh-CN"/>
              </w:rPr>
            </w:pPr>
            <w:r>
              <w:rPr>
                <w:rFonts w:hint="eastAsia"/>
                <w:color w:val="000000"/>
                <w:kern w:val="0"/>
                <w:sz w:val="28"/>
                <w:szCs w:val="28"/>
                <w:lang w:val="en-US" w:eastAsia="zh-CN"/>
              </w:rPr>
              <w:t xml:space="preserve">      </w:t>
            </w:r>
          </w:p>
        </w:tc>
      </w:tr>
    </w:tbl>
    <w:p>
      <w:pPr>
        <w:ind w:firstLine="640" w:firstLineChars="200"/>
        <w:rPr>
          <w:rFonts w:eastAsia="楷体"/>
          <w:kern w:val="0"/>
          <w:szCs w:val="32"/>
        </w:rPr>
      </w:pPr>
      <w:r>
        <w:rPr>
          <w:rFonts w:hAnsi="楷体" w:eastAsia="楷体"/>
        </w:rPr>
        <w:br w:type="page"/>
      </w: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147"/>
        <w:gridCol w:w="1704"/>
        <w:gridCol w:w="2386"/>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asciiTheme="minorEastAsia" w:hAnsiTheme="minorEastAsia" w:eastAsiaTheme="minorEastAsia" w:cstheme="minorEastAsia"/>
                <w:kern w:val="0"/>
                <w:sz w:val="44"/>
                <w:szCs w:val="44"/>
              </w:rPr>
              <w:t>政府性基金预算支出表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1420" w:hRule="atLeast"/>
        </w:trPr>
        <w:tc>
          <w:tcPr>
            <w:tcW w:w="255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tbl>
      <w:tblPr>
        <w:tblStyle w:val="9"/>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122"/>
        <w:gridCol w:w="1121"/>
        <w:gridCol w:w="1122"/>
        <w:gridCol w:w="663"/>
        <w:gridCol w:w="663"/>
        <w:gridCol w:w="1122"/>
        <w:gridCol w:w="1121"/>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94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Theme="minorEastAsia" w:hAnsiTheme="minorEastAsia" w:eastAsiaTheme="minorEastAsia" w:cstheme="minorEastAsia"/>
                <w:i w:val="0"/>
                <w:iCs w:val="0"/>
                <w:color w:val="000000"/>
                <w:kern w:val="0"/>
                <w:sz w:val="44"/>
                <w:szCs w:val="44"/>
                <w:u w:val="none"/>
                <w:lang w:val="en-US" w:eastAsia="zh-CN" w:bidi="ar"/>
              </w:rPr>
              <w:t>本年政府性基金预算支出明细表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科目编码</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单位代码</w:t>
            </w:r>
          </w:p>
        </w:tc>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单位名称</w:t>
            </w:r>
          </w:p>
        </w:tc>
        <w:tc>
          <w:tcPr>
            <w:tcW w:w="491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总计</w:t>
            </w:r>
          </w:p>
        </w:tc>
        <w:tc>
          <w:tcPr>
            <w:tcW w:w="29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基本支出</w:t>
            </w:r>
          </w:p>
        </w:tc>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人员经费</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公用经费</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Verdana" w:hAnsi="Verdana" w:eastAsia="宋体" w:cs="Verdana"/>
                <w:i w:val="0"/>
                <w:iCs w:val="0"/>
                <w:color w:val="000000"/>
                <w:sz w:val="24"/>
                <w:szCs w:val="24"/>
                <w:u w:val="none"/>
              </w:rPr>
            </w:pPr>
          </w:p>
        </w:tc>
      </w:tr>
    </w:tbl>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eastAsia="方正小标宋简体"/>
                <w:kern w:val="0"/>
                <w:sz w:val="44"/>
                <w:szCs w:val="44"/>
              </w:rPr>
            </w:pPr>
          </w:p>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国有资本经营预算支出表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3"/>
        <w:gridCol w:w="1107"/>
        <w:gridCol w:w="864"/>
        <w:gridCol w:w="498"/>
        <w:gridCol w:w="553"/>
        <w:gridCol w:w="554"/>
        <w:gridCol w:w="521"/>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cBorders>
            <w:noWrap w:val="0"/>
            <w:vAlign w:val="center"/>
          </w:tcPr>
          <w:p>
            <w:pPr>
              <w:widowControl/>
              <w:jc w:val="center"/>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项目支出表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6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0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6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498"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628" w:type="dxa"/>
            <w:gridSpan w:val="3"/>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62" w:type="dxa"/>
            <w:gridSpan w:val="5"/>
            <w:tcBorders>
              <w:top w:val="nil"/>
              <w:left w:val="nil"/>
              <w:right w:val="nil"/>
            </w:tcBorders>
            <w:noWrap w:val="0"/>
            <w:vAlign w:val="center"/>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70"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6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w:t>
            </w:r>
          </w:p>
        </w:tc>
        <w:tc>
          <w:tcPr>
            <w:tcW w:w="498"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628"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本年财政拨款</w:t>
            </w:r>
          </w:p>
        </w:tc>
        <w:tc>
          <w:tcPr>
            <w:tcW w:w="1694" w:type="dxa"/>
            <w:gridSpan w:val="3"/>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443"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财政专户</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管理资金</w:t>
            </w:r>
          </w:p>
        </w:tc>
        <w:tc>
          <w:tcPr>
            <w:tcW w:w="425" w:type="dxa"/>
            <w:vMerge w:val="restart"/>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759" w:type="dxa"/>
            <w:vMerge w:val="continue"/>
            <w:noWrap w:val="0"/>
            <w:vAlign w:val="center"/>
          </w:tcPr>
          <w:p>
            <w:pPr>
              <w:autoSpaceDN w:val="0"/>
              <w:jc w:val="center"/>
              <w:textAlignment w:val="center"/>
              <w:rPr>
                <w:rFonts w:ascii="Calibri" w:hAnsi="Calibri" w:eastAsia="华文细黑"/>
                <w:color w:val="000000"/>
                <w:sz w:val="20"/>
                <w:szCs w:val="22"/>
              </w:rPr>
            </w:pPr>
          </w:p>
        </w:tc>
        <w:tc>
          <w:tcPr>
            <w:tcW w:w="106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10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64" w:type="dxa"/>
            <w:vMerge w:val="continue"/>
            <w:noWrap w:val="0"/>
            <w:vAlign w:val="center"/>
          </w:tcPr>
          <w:p>
            <w:pPr>
              <w:autoSpaceDN w:val="0"/>
              <w:jc w:val="center"/>
              <w:textAlignment w:val="center"/>
              <w:rPr>
                <w:rFonts w:ascii="Calibri" w:hAnsi="Calibri" w:eastAsia="华文细黑"/>
                <w:color w:val="000000"/>
                <w:sz w:val="20"/>
                <w:szCs w:val="22"/>
              </w:rPr>
            </w:pPr>
          </w:p>
        </w:tc>
        <w:tc>
          <w:tcPr>
            <w:tcW w:w="498" w:type="dxa"/>
            <w:vMerge w:val="continue"/>
            <w:noWrap w:val="0"/>
            <w:vAlign w:val="center"/>
          </w:tcPr>
          <w:p>
            <w:pPr>
              <w:autoSpaceDN w:val="0"/>
              <w:jc w:val="center"/>
              <w:textAlignment w:val="center"/>
              <w:rPr>
                <w:rFonts w:ascii="Calibri" w:hAnsi="Calibri" w:eastAsia="华文细黑"/>
                <w:color w:val="000000"/>
                <w:sz w:val="20"/>
                <w:szCs w:val="22"/>
              </w:rPr>
            </w:pPr>
          </w:p>
        </w:tc>
        <w:tc>
          <w:tcPr>
            <w:tcW w:w="55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554"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21"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经营预算</w:t>
            </w:r>
          </w:p>
        </w:tc>
        <w:tc>
          <w:tcPr>
            <w:tcW w:w="564"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32"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98"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443" w:type="dxa"/>
            <w:vMerge w:val="continue"/>
            <w:noWrap w:val="0"/>
            <w:vAlign w:val="center"/>
          </w:tcPr>
          <w:p>
            <w:pPr>
              <w:autoSpaceDN w:val="0"/>
              <w:jc w:val="center"/>
              <w:textAlignment w:val="center"/>
              <w:rPr>
                <w:rFonts w:ascii="Calibri" w:hAnsi="Calibri" w:eastAsia="华文细黑"/>
                <w:color w:val="000000"/>
                <w:sz w:val="20"/>
                <w:szCs w:val="22"/>
              </w:rPr>
            </w:pPr>
          </w:p>
        </w:tc>
        <w:tc>
          <w:tcPr>
            <w:tcW w:w="425" w:type="dxa"/>
            <w:vMerge w:val="continue"/>
            <w:noWrap w:val="0"/>
            <w:vAlign w:val="center"/>
          </w:tcPr>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59"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063" w:type="dxa"/>
            <w:noWrap w:val="0"/>
            <w:vAlign w:val="center"/>
          </w:tcPr>
          <w:p>
            <w:pPr>
              <w:autoSpaceDN w:val="0"/>
              <w:jc w:val="center"/>
              <w:textAlignment w:val="center"/>
              <w:rPr>
                <w:rFonts w:ascii="Calibri" w:hAnsi="Calibri" w:eastAsia="华文细黑"/>
                <w:color w:val="000000"/>
                <w:sz w:val="20"/>
                <w:szCs w:val="2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ascii="Calibri" w:hAnsi="Calibri" w:eastAsia="楷体"/>
                <w:kern w:val="0"/>
                <w:szCs w:val="32"/>
              </w:rPr>
            </w:pPr>
          </w:p>
        </w:tc>
        <w:tc>
          <w:tcPr>
            <w:tcW w:w="498" w:type="dxa"/>
            <w:noWrap w:val="0"/>
            <w:vAlign w:val="center"/>
          </w:tcPr>
          <w:p>
            <w:pPr>
              <w:spacing w:line="700" w:lineRule="exact"/>
              <w:jc w:val="center"/>
              <w:rPr>
                <w:rFonts w:ascii="Calibri" w:hAnsi="Calibri" w:eastAsia="楷体"/>
                <w:kern w:val="0"/>
                <w:szCs w:val="32"/>
              </w:rPr>
            </w:pPr>
          </w:p>
        </w:tc>
        <w:tc>
          <w:tcPr>
            <w:tcW w:w="553" w:type="dxa"/>
            <w:noWrap w:val="0"/>
            <w:vAlign w:val="center"/>
          </w:tcPr>
          <w:p>
            <w:pPr>
              <w:spacing w:line="700" w:lineRule="exact"/>
              <w:jc w:val="center"/>
              <w:rPr>
                <w:rFonts w:ascii="Calibri" w:hAnsi="Calibri" w:eastAsia="楷体"/>
                <w:kern w:val="0"/>
                <w:szCs w:val="32"/>
              </w:rPr>
            </w:pPr>
          </w:p>
        </w:tc>
        <w:tc>
          <w:tcPr>
            <w:tcW w:w="554" w:type="dxa"/>
            <w:noWrap w:val="0"/>
            <w:vAlign w:val="center"/>
          </w:tcPr>
          <w:p>
            <w:pPr>
              <w:spacing w:line="700" w:lineRule="exact"/>
              <w:jc w:val="center"/>
              <w:rPr>
                <w:rFonts w:ascii="Calibri" w:hAnsi="Calibri" w:eastAsia="楷体"/>
                <w:kern w:val="0"/>
                <w:szCs w:val="32"/>
              </w:rPr>
            </w:pPr>
          </w:p>
        </w:tc>
        <w:tc>
          <w:tcPr>
            <w:tcW w:w="521"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noWrap w:val="0"/>
            <w:vAlign w:val="center"/>
          </w:tcPr>
          <w:p>
            <w:pPr>
              <w:spacing w:line="700" w:lineRule="exact"/>
              <w:jc w:val="center"/>
              <w:rPr>
                <w:rFonts w:ascii="Calibri" w:hAnsi="Calibri" w:eastAsia="楷体"/>
                <w:kern w:val="0"/>
                <w:szCs w:val="32"/>
              </w:rPr>
            </w:pPr>
          </w:p>
        </w:tc>
        <w:tc>
          <w:tcPr>
            <w:tcW w:w="443" w:type="dxa"/>
            <w:noWrap w:val="0"/>
            <w:vAlign w:val="center"/>
          </w:tcPr>
          <w:p>
            <w:pPr>
              <w:spacing w:line="700" w:lineRule="exact"/>
              <w:jc w:val="center"/>
              <w:rPr>
                <w:rFonts w:ascii="Calibri" w:hAnsi="Calibri" w:eastAsia="楷体"/>
                <w:kern w:val="0"/>
                <w:szCs w:val="32"/>
              </w:rPr>
            </w:pPr>
          </w:p>
        </w:tc>
        <w:tc>
          <w:tcPr>
            <w:tcW w:w="425" w:type="dxa"/>
            <w:noWrap w:val="0"/>
            <w:vAlign w:val="center"/>
          </w:tcPr>
          <w:p>
            <w:pPr>
              <w:spacing w:line="700" w:lineRule="exact"/>
              <w:jc w:val="center"/>
              <w:rPr>
                <w:rFonts w:ascii="Calibri" w:hAnsi="Calibri" w:eastAsia="楷体"/>
                <w:kern w:val="0"/>
                <w:szCs w:val="32"/>
              </w:rPr>
            </w:pPr>
          </w:p>
        </w:tc>
      </w:tr>
    </w:tbl>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217" w:tblpY="483"/>
        <w:tblOverlap w:val="never"/>
        <w:tblW w:w="0" w:type="auto"/>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noWrap w:val="0"/>
            <w:vAlign w:val="center"/>
          </w:tcPr>
          <w:p>
            <w:pPr>
              <w:widowControl/>
              <w:jc w:val="center"/>
              <w:textAlignment w:val="center"/>
              <w:rPr>
                <w:rFonts w:ascii="黑体" w:hAnsi="宋体" w:eastAsia="黑体" w:cs="黑体"/>
                <w:color w:val="000000"/>
                <w:szCs w:val="32"/>
              </w:rPr>
            </w:pPr>
            <w:r>
              <w:rPr>
                <w:rFonts w:hint="eastAsia" w:asciiTheme="minorEastAsia" w:hAnsiTheme="minorEastAsia" w:eastAsiaTheme="minorEastAsia" w:cstheme="minorEastAsia"/>
                <w:kern w:val="0"/>
                <w:sz w:val="44"/>
                <w:szCs w:val="44"/>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一级项目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项目资金</w:t>
            </w:r>
            <w:r>
              <w:rPr>
                <w:rFonts w:hint="eastAsia" w:eastAsia="华文细黑"/>
                <w:color w:val="000000"/>
                <w:sz w:val="20"/>
              </w:rPr>
              <w:br w:type="textWrapping"/>
            </w:r>
            <w:r>
              <w:rPr>
                <w:rFonts w:hint="eastAsia" w:eastAsia="华文细黑"/>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年度绩效</w:t>
            </w:r>
            <w:r>
              <w:rPr>
                <w:rFonts w:hint="eastAsia" w:eastAsia="华文细黑"/>
                <w:color w:val="000000"/>
                <w:sz w:val="20"/>
              </w:rPr>
              <w:br w:type="textWrapping"/>
            </w:r>
            <w:r>
              <w:rPr>
                <w:rFonts w:hint="eastAsia" w:eastAsia="华文细黑"/>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bl>
    <w:p>
      <w:pPr>
        <w:spacing w:line="700" w:lineRule="exact"/>
        <w:ind w:firstLine="560" w:firstLineChars="200"/>
        <w:rPr>
          <w:rFonts w:hint="eastAsia" w:eastAsia="楷体"/>
          <w:kern w:val="0"/>
          <w:sz w:val="28"/>
          <w:szCs w:val="28"/>
        </w:rPr>
      </w:pPr>
    </w:p>
    <w:p>
      <w:pPr>
        <w:spacing w:line="700" w:lineRule="exact"/>
        <w:rPr>
          <w:rFonts w:hint="eastAsia" w:eastAsia="楷体"/>
          <w:kern w:val="0"/>
          <w:sz w:val="28"/>
          <w:szCs w:val="28"/>
        </w:rPr>
      </w:pPr>
    </w:p>
    <w:p>
      <w:pPr>
        <w:spacing w:line="700" w:lineRule="exact"/>
        <w:ind w:firstLine="640" w:firstLineChars="200"/>
        <w:rPr>
          <w:rFonts w:hint="eastAsia" w:eastAsia="楷体"/>
          <w:kern w:val="0"/>
          <w:szCs w:val="32"/>
        </w:rPr>
      </w:pPr>
    </w:p>
    <w:p>
      <w:pPr>
        <w:ind w:firstLine="640" w:firstLineChars="200"/>
        <w:jc w:val="center"/>
        <w:rPr>
          <w:rFonts w:eastAsia="黑体"/>
        </w:rPr>
      </w:pPr>
    </w:p>
    <w:p>
      <w:pPr>
        <w:ind w:firstLine="640" w:firstLineChars="200"/>
        <w:jc w:val="center"/>
        <w:rPr>
          <w:rFonts w:eastAsia="黑体"/>
        </w:rPr>
      </w:pP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4</w:t>
      </w:r>
      <w:r>
        <w:rPr>
          <w:rFonts w:eastAsia="黑体"/>
          <w:szCs w:val="32"/>
        </w:rPr>
        <w:t>年收支预算总体情况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202</w:t>
      </w:r>
      <w:r>
        <w:rPr>
          <w:rFonts w:hint="eastAsia" w:ascii="宋体" w:hAnsi="宋体" w:eastAsia="宋体" w:cs="宋体"/>
          <w:sz w:val="32"/>
          <w:szCs w:val="32"/>
          <w:lang w:val="en-US" w:eastAsia="zh-CN"/>
        </w:rPr>
        <w:t>4</w:t>
      </w:r>
      <w:r>
        <w:rPr>
          <w:rFonts w:hint="eastAsia" w:ascii="宋体" w:hAnsi="宋体" w:eastAsia="宋体" w:cs="宋体"/>
          <w:sz w:val="32"/>
          <w:szCs w:val="32"/>
        </w:rPr>
        <w:t>年收支总预算</w:t>
      </w:r>
      <w:r>
        <w:rPr>
          <w:rFonts w:hint="eastAsia" w:ascii="宋体" w:hAnsi="宋体" w:eastAsia="宋体" w:cs="宋体"/>
          <w:sz w:val="32"/>
          <w:szCs w:val="32"/>
          <w:lang w:val="en-US" w:eastAsia="zh-CN"/>
        </w:rPr>
        <w:t>1178.79</w:t>
      </w:r>
      <w:r>
        <w:rPr>
          <w:rFonts w:hint="eastAsia" w:ascii="宋体" w:hAnsi="宋体" w:eastAsia="宋体" w:cs="宋体"/>
          <w:sz w:val="32"/>
          <w:szCs w:val="32"/>
        </w:rPr>
        <w:t>万元</w:t>
      </w:r>
      <w:r>
        <w:rPr>
          <w:rFonts w:hint="eastAsia" w:ascii="宋体" w:hAnsi="宋体" w:eastAsia="宋体" w:cs="宋体"/>
          <w:sz w:val="32"/>
          <w:szCs w:val="32"/>
          <w:lang w:eastAsia="zh-CN"/>
        </w:rPr>
        <w:t>，其中：当年预算</w:t>
      </w:r>
      <w:r>
        <w:rPr>
          <w:rFonts w:hint="eastAsia" w:ascii="宋体" w:hAnsi="宋体" w:eastAsia="宋体" w:cs="宋体"/>
          <w:sz w:val="32"/>
          <w:szCs w:val="32"/>
          <w:lang w:val="en-US" w:eastAsia="zh-CN"/>
        </w:rPr>
        <w:t>1178.79</w:t>
      </w:r>
      <w:r>
        <w:rPr>
          <w:rFonts w:hint="eastAsia" w:ascii="宋体" w:hAnsi="宋体" w:eastAsia="宋体" w:cs="宋体"/>
          <w:sz w:val="32"/>
          <w:szCs w:val="32"/>
          <w:lang w:eastAsia="zh-CN"/>
        </w:rPr>
        <w:t>万元；上年结转</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w:t>
      </w:r>
      <w:r>
        <w:rPr>
          <w:rFonts w:hint="eastAsia" w:ascii="宋体" w:hAnsi="宋体" w:eastAsia="宋体" w:cs="宋体"/>
          <w:sz w:val="32"/>
          <w:szCs w:val="32"/>
          <w:lang w:val="en-US" w:eastAsia="zh-CN"/>
        </w:rPr>
        <w:t>2024年当年预算</w:t>
      </w:r>
      <w:r>
        <w:rPr>
          <w:rFonts w:hint="eastAsia" w:ascii="宋体" w:hAnsi="宋体" w:eastAsia="宋体" w:cs="宋体"/>
          <w:sz w:val="32"/>
          <w:szCs w:val="32"/>
        </w:rPr>
        <w:t>比202</w:t>
      </w:r>
      <w:r>
        <w:rPr>
          <w:rFonts w:hint="eastAsia" w:ascii="宋体" w:hAnsi="宋体" w:eastAsia="宋体" w:cs="宋体"/>
          <w:sz w:val="32"/>
          <w:szCs w:val="32"/>
          <w:lang w:val="en-US" w:eastAsia="zh-CN"/>
        </w:rPr>
        <w:t>3</w:t>
      </w:r>
      <w:r>
        <w:rPr>
          <w:rFonts w:hint="eastAsia" w:ascii="宋体" w:hAnsi="宋体" w:eastAsia="宋体" w:cs="宋体"/>
          <w:sz w:val="32"/>
          <w:szCs w:val="32"/>
        </w:rPr>
        <w:t>年预算</w:t>
      </w:r>
      <w:r>
        <w:rPr>
          <w:rFonts w:hint="eastAsia" w:ascii="宋体" w:hAnsi="宋体" w:eastAsia="宋体" w:cs="宋体"/>
          <w:sz w:val="32"/>
          <w:szCs w:val="32"/>
          <w:lang w:val="en-US" w:eastAsia="zh-CN"/>
        </w:rPr>
        <w:t>减少331.51</w:t>
      </w:r>
      <w:r>
        <w:rPr>
          <w:rFonts w:hint="eastAsia" w:ascii="宋体" w:hAnsi="宋体" w:eastAsia="宋体" w:cs="宋体"/>
          <w:sz w:val="32"/>
          <w:szCs w:val="32"/>
        </w:rPr>
        <w:t>万元，主要原因是</w:t>
      </w:r>
      <w:r>
        <w:rPr>
          <w:rFonts w:hint="eastAsia" w:ascii="宋体" w:hAnsi="宋体" w:eastAsia="宋体" w:cs="宋体"/>
          <w:sz w:val="32"/>
          <w:szCs w:val="32"/>
          <w:lang w:val="en-US" w:eastAsia="zh-CN"/>
        </w:rPr>
        <w:t>没有项目支出</w:t>
      </w:r>
      <w:r>
        <w:rPr>
          <w:rFonts w:hint="eastAsia" w:ascii="宋体" w:hAnsi="宋体" w:eastAsia="宋体" w:cs="宋体"/>
          <w:sz w:val="32"/>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二、202</w:t>
      </w:r>
      <w:r>
        <w:rPr>
          <w:rFonts w:hint="eastAsia" w:ascii="宋体" w:hAnsi="宋体" w:eastAsia="宋体" w:cs="宋体"/>
          <w:szCs w:val="32"/>
          <w:lang w:val="en-US" w:eastAsia="zh-CN"/>
        </w:rPr>
        <w:t>4</w:t>
      </w:r>
      <w:r>
        <w:rPr>
          <w:rFonts w:hint="eastAsia" w:ascii="宋体" w:hAnsi="宋体" w:eastAsia="宋体" w:cs="宋体"/>
          <w:szCs w:val="32"/>
        </w:rPr>
        <w:t>年收入预算情况</w:t>
      </w:r>
    </w:p>
    <w:p>
      <w:pPr>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年收入预算</w:t>
      </w:r>
      <w:r>
        <w:rPr>
          <w:rFonts w:hint="eastAsia" w:ascii="宋体" w:hAnsi="宋体" w:eastAsia="宋体" w:cs="宋体"/>
          <w:szCs w:val="32"/>
          <w:lang w:val="en-US" w:eastAsia="zh-CN"/>
        </w:rPr>
        <w:t>1178.79</w:t>
      </w:r>
      <w:r>
        <w:rPr>
          <w:rFonts w:hint="eastAsia" w:ascii="宋体" w:hAnsi="宋体" w:eastAsia="宋体" w:cs="宋体"/>
          <w:szCs w:val="32"/>
        </w:rPr>
        <w:t>万元，其中：本年收入</w:t>
      </w:r>
      <w:r>
        <w:rPr>
          <w:rFonts w:hint="eastAsia" w:ascii="宋体" w:hAnsi="宋体" w:eastAsia="宋体" w:cs="宋体"/>
          <w:szCs w:val="32"/>
          <w:lang w:val="en-US" w:eastAsia="zh-CN"/>
        </w:rPr>
        <w:t>1178.79</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%；上年结转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%。本年收入中，一般公共预算拨款收入</w:t>
      </w:r>
      <w:r>
        <w:rPr>
          <w:rFonts w:hint="eastAsia" w:ascii="宋体" w:hAnsi="宋体" w:eastAsia="宋体" w:cs="宋体"/>
          <w:szCs w:val="32"/>
          <w:lang w:val="en-US" w:eastAsia="zh-CN"/>
        </w:rPr>
        <w:t>1178.79</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%；政府性基金预算拨款收入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%；上级补助收入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%；附属单位上缴收入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%；其他收入</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%。上年结转中，一般公共预算拨款结转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%；政府性基金预算拨款结转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%；国有资本经营预算拨款结转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%；财政专户管理资金结转结余</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%；单位资金结转</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%；用事业基金弥补收支差额</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三、202</w:t>
      </w:r>
      <w:r>
        <w:rPr>
          <w:rFonts w:hint="eastAsia" w:ascii="宋体" w:hAnsi="宋体" w:eastAsia="宋体" w:cs="宋体"/>
          <w:szCs w:val="32"/>
          <w:lang w:val="en-US" w:eastAsia="zh-CN"/>
        </w:rPr>
        <w:t>4</w:t>
      </w:r>
      <w:r>
        <w:rPr>
          <w:rFonts w:hint="eastAsia" w:ascii="宋体" w:hAnsi="宋体" w:eastAsia="宋体" w:cs="宋体"/>
          <w:szCs w:val="32"/>
        </w:rPr>
        <w:t>年支出预算情况</w:t>
      </w:r>
    </w:p>
    <w:p>
      <w:pPr>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年支出预算</w:t>
      </w:r>
      <w:r>
        <w:rPr>
          <w:rFonts w:hint="eastAsia" w:ascii="宋体" w:hAnsi="宋体" w:eastAsia="宋体" w:cs="宋体"/>
          <w:szCs w:val="32"/>
          <w:lang w:val="en-US" w:eastAsia="zh-CN"/>
        </w:rPr>
        <w:t>1178.79</w:t>
      </w:r>
      <w:r>
        <w:rPr>
          <w:rFonts w:hint="eastAsia" w:ascii="宋体" w:hAnsi="宋体" w:eastAsia="宋体" w:cs="宋体"/>
          <w:szCs w:val="32"/>
        </w:rPr>
        <w:t>万元，其中：基本支出</w:t>
      </w:r>
      <w:r>
        <w:rPr>
          <w:rFonts w:hint="eastAsia" w:ascii="宋体" w:hAnsi="宋体" w:eastAsia="宋体" w:cs="宋体"/>
          <w:szCs w:val="32"/>
          <w:lang w:val="en-US" w:eastAsia="zh-CN"/>
        </w:rPr>
        <w:t>1178.79</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%；事业单位经营支出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%；上缴上级支出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%；对附属单位补助支出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00"/>
        <w:rPr>
          <w:rFonts w:hint="eastAsia" w:ascii="宋体" w:hAnsi="宋体" w:eastAsia="宋体" w:cs="宋体"/>
          <w:szCs w:val="32"/>
        </w:rPr>
      </w:pPr>
      <w:r>
        <w:rPr>
          <w:rFonts w:hint="eastAsia" w:ascii="宋体" w:hAnsi="宋体" w:eastAsia="宋体" w:cs="宋体"/>
          <w:szCs w:val="32"/>
        </w:rPr>
        <w:t>四、202</w:t>
      </w:r>
      <w:r>
        <w:rPr>
          <w:rFonts w:hint="eastAsia" w:ascii="宋体" w:hAnsi="宋体" w:eastAsia="宋体" w:cs="宋体"/>
          <w:szCs w:val="32"/>
          <w:lang w:val="en-US" w:eastAsia="zh-CN"/>
        </w:rPr>
        <w:t>4</w:t>
      </w:r>
      <w:r>
        <w:rPr>
          <w:rFonts w:hint="eastAsia" w:ascii="宋体" w:hAnsi="宋体" w:eastAsia="宋体" w:cs="宋体"/>
          <w:szCs w:val="32"/>
        </w:rPr>
        <w:t>年财政拨款收支预算情况</w:t>
      </w:r>
    </w:p>
    <w:p>
      <w:pPr>
        <w:ind w:firstLine="6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年财政拨款收支总预算</w:t>
      </w:r>
      <w:r>
        <w:rPr>
          <w:rFonts w:hint="eastAsia" w:ascii="宋体" w:hAnsi="宋体" w:eastAsia="宋体" w:cs="宋体"/>
          <w:szCs w:val="32"/>
          <w:lang w:val="en-US" w:eastAsia="zh-CN"/>
        </w:rPr>
        <w:t>1178.79</w:t>
      </w:r>
      <w:r>
        <w:rPr>
          <w:rFonts w:hint="eastAsia" w:ascii="宋体" w:hAnsi="宋体" w:eastAsia="宋体" w:cs="宋体"/>
          <w:szCs w:val="32"/>
        </w:rPr>
        <w:t>万元，其中：本年收入</w:t>
      </w:r>
      <w:r>
        <w:rPr>
          <w:rFonts w:hint="eastAsia" w:ascii="宋体" w:hAnsi="宋体" w:eastAsia="宋体" w:cs="宋体"/>
          <w:szCs w:val="32"/>
          <w:lang w:val="en-US" w:eastAsia="zh-CN"/>
        </w:rPr>
        <w:t>1178.79</w:t>
      </w:r>
      <w:r>
        <w:rPr>
          <w:rFonts w:hint="eastAsia" w:ascii="宋体" w:hAnsi="宋体" w:eastAsia="宋体" w:cs="宋体"/>
          <w:szCs w:val="32"/>
        </w:rPr>
        <w:t>万元，上年结转</w:t>
      </w:r>
      <w:r>
        <w:rPr>
          <w:rFonts w:hint="eastAsia" w:ascii="宋体" w:hAnsi="宋体" w:eastAsia="宋体" w:cs="宋体"/>
          <w:szCs w:val="32"/>
          <w:lang w:val="en-US" w:eastAsia="zh-CN"/>
        </w:rPr>
        <w:t>0</w:t>
      </w:r>
      <w:r>
        <w:rPr>
          <w:rFonts w:hint="eastAsia" w:ascii="宋体" w:hAnsi="宋体" w:eastAsia="宋体" w:cs="宋体"/>
          <w:szCs w:val="32"/>
        </w:rPr>
        <w:t>万元。支出包括：</w:t>
      </w:r>
      <w:r>
        <w:rPr>
          <w:rFonts w:hint="eastAsia" w:ascii="宋体" w:hAnsi="宋体" w:eastAsia="宋体" w:cs="宋体"/>
          <w:kern w:val="0"/>
          <w:szCs w:val="32"/>
        </w:rPr>
        <w:t>一般公共服务支出</w:t>
      </w:r>
      <w:r>
        <w:rPr>
          <w:rFonts w:hint="eastAsia" w:ascii="宋体" w:hAnsi="宋体" w:eastAsia="宋体" w:cs="宋体"/>
          <w:kern w:val="0"/>
          <w:szCs w:val="32"/>
          <w:lang w:val="en-US" w:eastAsia="zh-CN"/>
        </w:rPr>
        <w:t>855.22</w:t>
      </w:r>
      <w:r>
        <w:rPr>
          <w:rFonts w:hint="eastAsia" w:ascii="宋体" w:hAnsi="宋体" w:eastAsia="宋体" w:cs="宋体"/>
          <w:szCs w:val="32"/>
        </w:rPr>
        <w:t>万元，</w:t>
      </w:r>
      <w:r>
        <w:rPr>
          <w:rFonts w:hint="eastAsia" w:ascii="宋体" w:hAnsi="宋体" w:eastAsia="宋体" w:cs="宋体"/>
          <w:kern w:val="0"/>
          <w:szCs w:val="32"/>
        </w:rPr>
        <w:t>国防支出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公共安全支出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教育支出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科学技术支出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文化旅游体育与传媒支出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社会保障和就业支出</w:t>
      </w:r>
      <w:r>
        <w:rPr>
          <w:rFonts w:hint="eastAsia" w:ascii="宋体" w:hAnsi="宋体" w:eastAsia="宋体" w:cs="宋体"/>
          <w:szCs w:val="32"/>
          <w:lang w:val="en-US" w:eastAsia="zh-CN"/>
        </w:rPr>
        <w:t>184.24</w:t>
      </w:r>
      <w:r>
        <w:rPr>
          <w:rFonts w:hint="eastAsia" w:ascii="宋体" w:hAnsi="宋体" w:eastAsia="宋体" w:cs="宋体"/>
          <w:szCs w:val="32"/>
        </w:rPr>
        <w:t>万元，</w:t>
      </w:r>
      <w:r>
        <w:rPr>
          <w:rFonts w:hint="eastAsia" w:ascii="宋体" w:hAnsi="宋体" w:eastAsia="宋体" w:cs="宋体"/>
          <w:kern w:val="0"/>
          <w:szCs w:val="32"/>
        </w:rPr>
        <w:t>社会保险基金支出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卫生健康支出</w:t>
      </w:r>
      <w:r>
        <w:rPr>
          <w:rFonts w:hint="eastAsia" w:ascii="宋体" w:hAnsi="宋体" w:eastAsia="宋体" w:cs="宋体"/>
          <w:szCs w:val="32"/>
          <w:lang w:val="en-US" w:eastAsia="zh-CN"/>
        </w:rPr>
        <w:t>51.80</w:t>
      </w:r>
      <w:r>
        <w:rPr>
          <w:rFonts w:hint="eastAsia" w:ascii="宋体" w:hAnsi="宋体" w:eastAsia="宋体" w:cs="宋体"/>
          <w:szCs w:val="32"/>
        </w:rPr>
        <w:t>万元，</w:t>
      </w:r>
      <w:r>
        <w:rPr>
          <w:rFonts w:hint="eastAsia" w:ascii="宋体" w:hAnsi="宋体" w:eastAsia="宋体" w:cs="宋体"/>
          <w:kern w:val="0"/>
          <w:szCs w:val="32"/>
        </w:rPr>
        <w:t>节能环保支出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城乡社区支出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农林水支出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交通运输支出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资源勘探信息等支出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商业服务业等支出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金融支出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援助其他地区支出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自然资源海洋气象等支出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住房保障支出</w:t>
      </w:r>
      <w:r>
        <w:rPr>
          <w:rFonts w:hint="eastAsia" w:ascii="宋体" w:hAnsi="宋体" w:eastAsia="宋体" w:cs="宋体"/>
          <w:szCs w:val="32"/>
          <w:lang w:val="en-US" w:eastAsia="zh-CN"/>
        </w:rPr>
        <w:t>87.53</w:t>
      </w:r>
      <w:r>
        <w:rPr>
          <w:rFonts w:hint="eastAsia" w:ascii="宋体" w:hAnsi="宋体" w:eastAsia="宋体" w:cs="宋体"/>
          <w:szCs w:val="32"/>
        </w:rPr>
        <w:t>万元，</w:t>
      </w:r>
      <w:r>
        <w:rPr>
          <w:rFonts w:hint="eastAsia" w:ascii="宋体" w:hAnsi="宋体" w:eastAsia="宋体" w:cs="宋体"/>
          <w:kern w:val="0"/>
          <w:szCs w:val="32"/>
        </w:rPr>
        <w:t>粮油物资储备支出</w:t>
      </w:r>
      <w:r>
        <w:rPr>
          <w:rFonts w:hint="eastAsia" w:ascii="宋体" w:hAnsi="宋体" w:eastAsia="宋体" w:cs="宋体"/>
          <w:szCs w:val="32"/>
          <w:lang w:val="en-US" w:eastAsia="zh-CN"/>
        </w:rPr>
        <w:t>0</w:t>
      </w:r>
      <w:r>
        <w:rPr>
          <w:rFonts w:hint="eastAsia" w:ascii="宋体" w:hAnsi="宋体" w:eastAsia="宋体" w:cs="宋体"/>
          <w:szCs w:val="32"/>
        </w:rPr>
        <w:t>万元，灾害防治及应急管理支出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其他支出</w:t>
      </w:r>
      <w:r>
        <w:rPr>
          <w:rFonts w:hint="eastAsia" w:ascii="宋体" w:hAnsi="宋体" w:eastAsia="宋体" w:cs="宋体"/>
          <w:szCs w:val="32"/>
          <w:lang w:val="en-US" w:eastAsia="zh-CN"/>
        </w:rPr>
        <w:t>0</w:t>
      </w:r>
      <w:r>
        <w:rPr>
          <w:rFonts w:hint="eastAsia" w:ascii="宋体" w:hAnsi="宋体" w:eastAsia="宋体" w:cs="宋体"/>
          <w:szCs w:val="32"/>
        </w:rPr>
        <w:t>万元，</w:t>
      </w:r>
      <w:r>
        <w:rPr>
          <w:rFonts w:hint="eastAsia" w:ascii="宋体" w:hAnsi="宋体" w:eastAsia="宋体" w:cs="宋体"/>
          <w:kern w:val="0"/>
          <w:szCs w:val="32"/>
        </w:rPr>
        <w:t>结转下年支出</w:t>
      </w:r>
      <w:r>
        <w:rPr>
          <w:rFonts w:hint="eastAsia" w:ascii="宋体" w:hAnsi="宋体" w:eastAsia="宋体" w:cs="宋体"/>
          <w:szCs w:val="32"/>
          <w:lang w:val="en-US" w:eastAsia="zh-CN"/>
        </w:rPr>
        <w:t>0</w:t>
      </w:r>
      <w:r>
        <w:rPr>
          <w:rFonts w:hint="eastAsia" w:ascii="宋体" w:hAnsi="宋体" w:eastAsia="宋体" w:cs="宋体"/>
          <w:szCs w:val="32"/>
        </w:rPr>
        <w:t>万元。</w:t>
      </w:r>
    </w:p>
    <w:p>
      <w:pPr>
        <w:ind w:firstLine="600"/>
        <w:rPr>
          <w:rFonts w:hint="eastAsia" w:ascii="宋体" w:hAnsi="宋体" w:eastAsia="宋体" w:cs="宋体"/>
          <w:szCs w:val="30"/>
        </w:rPr>
      </w:pPr>
      <w:r>
        <w:rPr>
          <w:rFonts w:hint="eastAsia" w:ascii="宋体" w:hAnsi="宋体" w:eastAsia="宋体" w:cs="宋体"/>
          <w:szCs w:val="30"/>
        </w:rPr>
        <w:t>五、202</w:t>
      </w:r>
      <w:r>
        <w:rPr>
          <w:rFonts w:hint="eastAsia" w:ascii="宋体" w:hAnsi="宋体" w:eastAsia="宋体" w:cs="宋体"/>
          <w:szCs w:val="30"/>
          <w:lang w:val="en-US" w:eastAsia="zh-CN"/>
        </w:rPr>
        <w:t>4</w:t>
      </w:r>
      <w:r>
        <w:rPr>
          <w:rFonts w:hint="eastAsia" w:ascii="宋体" w:hAnsi="宋体" w:eastAsia="宋体" w:cs="宋体"/>
          <w:szCs w:val="30"/>
        </w:rPr>
        <w:t>年一般公共预算支出情况</w:t>
      </w:r>
    </w:p>
    <w:p>
      <w:pPr>
        <w:spacing w:line="520" w:lineRule="exact"/>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年一般公共预算拨款</w:t>
      </w:r>
      <w:r>
        <w:rPr>
          <w:rFonts w:hint="eastAsia" w:ascii="宋体" w:hAnsi="宋体" w:eastAsia="宋体" w:cs="宋体"/>
          <w:szCs w:val="32"/>
          <w:lang w:val="en-US" w:eastAsia="zh-CN"/>
        </w:rPr>
        <w:t>1178.79</w:t>
      </w:r>
      <w:r>
        <w:rPr>
          <w:rFonts w:hint="eastAsia" w:ascii="宋体" w:hAnsi="宋体" w:eastAsia="宋体" w:cs="宋体"/>
          <w:szCs w:val="32"/>
        </w:rPr>
        <w:t>万元，其中：基本支出</w:t>
      </w:r>
      <w:r>
        <w:rPr>
          <w:rFonts w:hint="eastAsia" w:ascii="宋体" w:hAnsi="宋体" w:eastAsia="宋体" w:cs="宋体"/>
          <w:szCs w:val="32"/>
          <w:lang w:val="en-US" w:eastAsia="zh-CN"/>
        </w:rPr>
        <w:t>1178.79</w:t>
      </w:r>
      <w:r>
        <w:rPr>
          <w:rFonts w:hint="eastAsia" w:ascii="宋体" w:hAnsi="宋体" w:eastAsia="宋体" w:cs="宋体"/>
          <w:szCs w:val="32"/>
        </w:rPr>
        <w:t>万元，占</w:t>
      </w:r>
      <w:r>
        <w:rPr>
          <w:rFonts w:hint="eastAsia" w:ascii="宋体" w:hAnsi="宋体" w:eastAsia="宋体" w:cs="宋体"/>
          <w:szCs w:val="32"/>
          <w:lang w:val="en-US" w:eastAsia="zh-CN"/>
        </w:rPr>
        <w:t>100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%。基本支出中，人员经费</w:t>
      </w:r>
      <w:r>
        <w:rPr>
          <w:rFonts w:hint="eastAsia" w:ascii="宋体" w:hAnsi="宋体" w:eastAsia="宋体" w:cs="宋体"/>
          <w:szCs w:val="32"/>
          <w:lang w:val="en-US" w:eastAsia="zh-CN"/>
        </w:rPr>
        <w:t>1045.77</w:t>
      </w:r>
      <w:r>
        <w:rPr>
          <w:rFonts w:hint="eastAsia" w:ascii="宋体" w:hAnsi="宋体" w:eastAsia="宋体" w:cs="宋体"/>
          <w:szCs w:val="32"/>
        </w:rPr>
        <w:t>万元，占</w:t>
      </w:r>
      <w:r>
        <w:rPr>
          <w:rFonts w:hint="eastAsia" w:ascii="宋体" w:hAnsi="宋体" w:eastAsia="宋体" w:cs="宋体"/>
          <w:szCs w:val="32"/>
          <w:lang w:val="en-US" w:eastAsia="zh-CN"/>
        </w:rPr>
        <w:t>88.72</w:t>
      </w:r>
      <w:r>
        <w:rPr>
          <w:rFonts w:hint="eastAsia" w:ascii="宋体" w:hAnsi="宋体" w:eastAsia="宋体" w:cs="宋体"/>
          <w:szCs w:val="32"/>
        </w:rPr>
        <w:t>%；公用经费</w:t>
      </w:r>
      <w:r>
        <w:rPr>
          <w:rFonts w:hint="eastAsia" w:ascii="宋体" w:hAnsi="宋体" w:eastAsia="宋体" w:cs="宋体"/>
          <w:szCs w:val="32"/>
          <w:lang w:val="en-US" w:eastAsia="zh-CN"/>
        </w:rPr>
        <w:t>133.02</w:t>
      </w:r>
      <w:r>
        <w:rPr>
          <w:rFonts w:hint="eastAsia" w:ascii="宋体" w:hAnsi="宋体" w:eastAsia="宋体" w:cs="宋体"/>
          <w:szCs w:val="32"/>
        </w:rPr>
        <w:t>万元，占</w:t>
      </w:r>
      <w:r>
        <w:rPr>
          <w:rFonts w:hint="eastAsia" w:ascii="宋体" w:hAnsi="宋体" w:eastAsia="宋体" w:cs="宋体"/>
          <w:szCs w:val="32"/>
          <w:lang w:val="en-US" w:eastAsia="zh-CN"/>
        </w:rPr>
        <w:t>11.28</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一般公共服务（类）支出</w:t>
      </w:r>
      <w:r>
        <w:rPr>
          <w:rFonts w:hint="eastAsia" w:ascii="宋体" w:hAnsi="宋体" w:eastAsia="宋体" w:cs="宋体"/>
          <w:szCs w:val="32"/>
          <w:lang w:val="en-US" w:eastAsia="zh-CN"/>
        </w:rPr>
        <w:t>855.22</w:t>
      </w:r>
      <w:r>
        <w:rPr>
          <w:rFonts w:hint="eastAsia" w:ascii="宋体" w:hAnsi="宋体" w:eastAsia="宋体" w:cs="宋体"/>
          <w:szCs w:val="32"/>
        </w:rPr>
        <w:t>万元，占</w:t>
      </w:r>
      <w:r>
        <w:rPr>
          <w:rFonts w:hint="eastAsia" w:ascii="宋体" w:hAnsi="宋体" w:eastAsia="宋体" w:cs="宋体"/>
          <w:szCs w:val="32"/>
          <w:lang w:val="en-US" w:eastAsia="zh-CN"/>
        </w:rPr>
        <w:t>72.55</w:t>
      </w:r>
      <w:r>
        <w:rPr>
          <w:rFonts w:hint="eastAsia" w:ascii="宋体" w:hAnsi="宋体" w:eastAsia="宋体" w:cs="宋体"/>
          <w:szCs w:val="32"/>
        </w:rPr>
        <w:t>%，主要用于</w:t>
      </w:r>
      <w:r>
        <w:rPr>
          <w:rFonts w:hint="eastAsia" w:ascii="宋体" w:hAnsi="宋体" w:eastAsia="宋体" w:cs="宋体"/>
          <w:szCs w:val="32"/>
          <w:lang w:val="en-US" w:eastAsia="zh-CN"/>
        </w:rPr>
        <w:t>人员工资支出</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国防（类）支出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教育（类）支出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科学技术（类）支出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文化旅游体育与传媒（类）支出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184.24</w:t>
      </w:r>
      <w:r>
        <w:rPr>
          <w:rFonts w:hint="eastAsia" w:ascii="宋体" w:hAnsi="宋体" w:eastAsia="宋体" w:cs="宋体"/>
          <w:szCs w:val="32"/>
        </w:rPr>
        <w:t>万元，占</w:t>
      </w:r>
      <w:r>
        <w:rPr>
          <w:rFonts w:hint="eastAsia" w:ascii="宋体" w:hAnsi="宋体" w:eastAsia="宋体" w:cs="宋体"/>
          <w:szCs w:val="32"/>
          <w:lang w:val="en-US" w:eastAsia="zh-CN"/>
        </w:rPr>
        <w:t>15.63</w:t>
      </w:r>
      <w:r>
        <w:rPr>
          <w:rFonts w:hint="eastAsia" w:ascii="宋体" w:hAnsi="宋体" w:eastAsia="宋体" w:cs="宋体"/>
          <w:szCs w:val="32"/>
        </w:rPr>
        <w:t>%，主要用于基本养老保险及职业年金缴费支出等。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农林水支出（类）支出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卫生健康支出（类）支出</w:t>
      </w:r>
      <w:r>
        <w:rPr>
          <w:rFonts w:hint="eastAsia" w:ascii="宋体" w:hAnsi="宋体" w:eastAsia="宋体" w:cs="宋体"/>
          <w:szCs w:val="32"/>
          <w:lang w:val="en-US" w:eastAsia="zh-CN"/>
        </w:rPr>
        <w:t>51.80</w:t>
      </w:r>
      <w:r>
        <w:rPr>
          <w:rFonts w:hint="eastAsia" w:ascii="宋体" w:hAnsi="宋体" w:eastAsia="宋体" w:cs="宋体"/>
          <w:szCs w:val="32"/>
        </w:rPr>
        <w:t>万元，占</w:t>
      </w:r>
      <w:r>
        <w:rPr>
          <w:rFonts w:hint="eastAsia" w:ascii="宋体" w:hAnsi="宋体" w:eastAsia="宋体" w:cs="宋体"/>
          <w:szCs w:val="32"/>
          <w:lang w:val="en-US" w:eastAsia="zh-CN"/>
        </w:rPr>
        <w:t>4.39</w:t>
      </w:r>
      <w:r>
        <w:rPr>
          <w:rFonts w:hint="eastAsia" w:ascii="宋体" w:hAnsi="宋体" w:eastAsia="宋体" w:cs="宋体"/>
          <w:szCs w:val="32"/>
        </w:rPr>
        <w:t>%，主要用于医保缴费支出。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Cs w:val="32"/>
        </w:rPr>
      </w:pPr>
      <w:r>
        <w:rPr>
          <w:rFonts w:hint="eastAsia" w:ascii="宋体" w:hAnsi="宋体" w:eastAsia="宋体" w:cs="宋体"/>
          <w:szCs w:val="32"/>
        </w:rPr>
        <w:t>住房保障（类）支出</w:t>
      </w:r>
      <w:r>
        <w:rPr>
          <w:rFonts w:hint="eastAsia" w:ascii="宋体" w:hAnsi="宋体" w:eastAsia="宋体" w:cs="宋体"/>
          <w:szCs w:val="32"/>
          <w:lang w:val="en-US" w:eastAsia="zh-CN"/>
        </w:rPr>
        <w:t>87.53</w:t>
      </w:r>
      <w:r>
        <w:rPr>
          <w:rFonts w:hint="eastAsia" w:ascii="宋体" w:hAnsi="宋体" w:eastAsia="宋体" w:cs="宋体"/>
          <w:szCs w:val="32"/>
        </w:rPr>
        <w:t>万元，占</w:t>
      </w:r>
      <w:r>
        <w:rPr>
          <w:rFonts w:hint="eastAsia" w:ascii="宋体" w:hAnsi="宋体" w:eastAsia="宋体" w:cs="宋体"/>
          <w:szCs w:val="32"/>
          <w:lang w:val="en-US" w:eastAsia="zh-CN"/>
        </w:rPr>
        <w:t>7.43</w:t>
      </w:r>
      <w:r>
        <w:rPr>
          <w:rFonts w:hint="eastAsia" w:ascii="宋体" w:hAnsi="宋体" w:eastAsia="宋体" w:cs="宋体"/>
          <w:szCs w:val="32"/>
        </w:rPr>
        <w:t>%，主要用于住房公积金缴费支出。</w:t>
      </w:r>
    </w:p>
    <w:p>
      <w:pPr>
        <w:spacing w:line="52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六、202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年一般公共预算基本支出情况</w:t>
      </w:r>
    </w:p>
    <w:p>
      <w:pPr>
        <w:ind w:firstLine="64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年一般公共预算基本支出</w:t>
      </w:r>
      <w:r>
        <w:rPr>
          <w:rFonts w:hint="eastAsia" w:ascii="宋体" w:hAnsi="宋体" w:eastAsia="宋体" w:cs="宋体"/>
          <w:color w:val="000000" w:themeColor="text1"/>
          <w:szCs w:val="32"/>
          <w:lang w:val="en-US" w:eastAsia="zh-CN"/>
          <w14:textFill>
            <w14:solidFill>
              <w14:schemeClr w14:val="tx1"/>
            </w14:solidFill>
          </w14:textFill>
        </w:rPr>
        <w:t>1178.79</w:t>
      </w:r>
      <w:r>
        <w:rPr>
          <w:rFonts w:hint="eastAsia" w:ascii="宋体" w:hAnsi="宋体" w:eastAsia="宋体" w:cs="宋体"/>
          <w:color w:val="000000" w:themeColor="text1"/>
          <w:szCs w:val="32"/>
          <w14:textFill>
            <w14:solidFill>
              <w14:schemeClr w14:val="tx1"/>
            </w14:solidFill>
          </w14:textFill>
        </w:rPr>
        <w:t>万元，其中：</w:t>
      </w:r>
    </w:p>
    <w:p>
      <w:pPr>
        <w:ind w:firstLine="640" w:firstLineChars="200"/>
        <w:rPr>
          <w:rFonts w:hint="eastAsia" w:ascii="宋体" w:hAnsi="宋体" w:eastAsia="宋体" w:cs="宋体"/>
          <w:color w:val="000000" w:themeColor="text1"/>
          <w:kern w:val="0"/>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人员经费</w:t>
      </w:r>
      <w:r>
        <w:rPr>
          <w:rFonts w:hint="eastAsia" w:ascii="宋体" w:hAnsi="宋体" w:eastAsia="宋体" w:cs="宋体"/>
          <w:color w:val="000000" w:themeColor="text1"/>
          <w:szCs w:val="32"/>
          <w:lang w:val="en-US" w:eastAsia="zh-CN"/>
          <w14:textFill>
            <w14:solidFill>
              <w14:schemeClr w14:val="tx1"/>
            </w14:solidFill>
          </w14:textFill>
        </w:rPr>
        <w:t>1045.77</w:t>
      </w:r>
      <w:r>
        <w:rPr>
          <w:rFonts w:hint="eastAsia" w:ascii="宋体" w:hAnsi="宋体" w:eastAsia="宋体" w:cs="宋体"/>
          <w:color w:val="000000" w:themeColor="text1"/>
          <w:szCs w:val="32"/>
          <w14:textFill>
            <w14:solidFill>
              <w14:schemeClr w14:val="tx1"/>
            </w14:solidFill>
          </w14:textFill>
        </w:rPr>
        <w:t>万元，主要包括：</w:t>
      </w:r>
      <w:r>
        <w:rPr>
          <w:rFonts w:hint="eastAsia" w:ascii="宋体" w:hAnsi="宋体" w:eastAsia="宋体" w:cs="宋体"/>
          <w:color w:val="000000" w:themeColor="text1"/>
          <w:kern w:val="0"/>
          <w:szCs w:val="32"/>
          <w14:textFill>
            <w14:solidFill>
              <w14:schemeClr w14:val="tx1"/>
            </w14:solidFill>
          </w14:textFill>
        </w:rPr>
        <w:t>基本工资、津贴补贴</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奖金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社会保障缴费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其他工资福利支出</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离休费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退休费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抚恤金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生活补助</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助学金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住房公积金</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采暖补贴</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其他对个人和家庭的补助支出。</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kern w:val="0"/>
          <w:szCs w:val="32"/>
          <w14:textFill>
            <w14:solidFill>
              <w14:schemeClr w14:val="tx1"/>
            </w14:solidFill>
          </w14:textFill>
        </w:rPr>
        <w:t>公用经费</w:t>
      </w:r>
      <w:r>
        <w:rPr>
          <w:rFonts w:hint="eastAsia" w:ascii="宋体" w:hAnsi="宋体" w:eastAsia="宋体" w:cs="宋体"/>
          <w:color w:val="000000" w:themeColor="text1"/>
          <w:szCs w:val="32"/>
          <w:lang w:val="en-US" w:eastAsia="zh-CN"/>
          <w14:textFill>
            <w14:solidFill>
              <w14:schemeClr w14:val="tx1"/>
            </w14:solidFill>
          </w14:textFill>
        </w:rPr>
        <w:t>133.02</w:t>
      </w:r>
      <w:r>
        <w:rPr>
          <w:rFonts w:hint="eastAsia" w:ascii="宋体" w:hAnsi="宋体" w:eastAsia="宋体" w:cs="宋体"/>
          <w:color w:val="000000" w:themeColor="text1"/>
          <w:szCs w:val="32"/>
          <w14:textFill>
            <w14:solidFill>
              <w14:schemeClr w14:val="tx1"/>
            </w14:solidFill>
          </w14:textFill>
        </w:rPr>
        <w:t>万元，主要包括：</w:t>
      </w:r>
      <w:r>
        <w:rPr>
          <w:rFonts w:hint="eastAsia" w:ascii="宋体" w:hAnsi="宋体" w:eastAsia="宋体" w:cs="宋体"/>
          <w:color w:val="000000" w:themeColor="text1"/>
          <w:kern w:val="0"/>
          <w:szCs w:val="32"/>
          <w14:textFill>
            <w14:solidFill>
              <w14:schemeClr w14:val="tx1"/>
            </w14:solidFill>
          </w14:textFill>
        </w:rPr>
        <w:t>办公费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印刷费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水费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电费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邮电费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取暖费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物业管理费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差旅费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维修（护）费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会议费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培训费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公务接待费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工会经费、福利费</w:t>
      </w:r>
      <w:r>
        <w:rPr>
          <w:rFonts w:hint="eastAsia" w:ascii="宋体" w:hAnsi="宋体" w:eastAsia="宋体" w:cs="宋体"/>
          <w:color w:val="000000" w:themeColor="text1"/>
          <w:szCs w:val="32"/>
          <w14:textFill>
            <w14:solidFill>
              <w14:schemeClr w14:val="tx1"/>
            </w14:solidFill>
          </w14:textFill>
        </w:rPr>
        <w:t>、公</w:t>
      </w:r>
      <w:r>
        <w:rPr>
          <w:rFonts w:hint="eastAsia" w:ascii="宋体" w:hAnsi="宋体" w:eastAsia="宋体" w:cs="宋体"/>
          <w:color w:val="000000" w:themeColor="text1"/>
          <w:kern w:val="0"/>
          <w:szCs w:val="32"/>
          <w14:textFill>
            <w14:solidFill>
              <w14:schemeClr w14:val="tx1"/>
            </w14:solidFill>
          </w14:textFill>
        </w:rPr>
        <w:t>务用车运行维护费</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其他交通补助</w:t>
      </w:r>
      <w:r>
        <w:rPr>
          <w:rFonts w:hint="eastAsia" w:ascii="宋体" w:hAnsi="宋体" w:eastAsia="宋体" w:cs="宋体"/>
          <w:color w:val="000000" w:themeColor="text1"/>
          <w:szCs w:val="32"/>
          <w14:textFill>
            <w14:solidFill>
              <w14:schemeClr w14:val="tx1"/>
            </w14:solidFill>
          </w14:textFill>
        </w:rPr>
        <w:t>、</w:t>
      </w:r>
      <w:r>
        <w:rPr>
          <w:rFonts w:hint="eastAsia" w:ascii="宋体" w:hAnsi="宋体" w:eastAsia="宋体" w:cs="宋体"/>
          <w:color w:val="000000" w:themeColor="text1"/>
          <w:kern w:val="0"/>
          <w:szCs w:val="32"/>
          <w14:textFill>
            <w14:solidFill>
              <w14:schemeClr w14:val="tx1"/>
            </w14:solidFill>
          </w14:textFill>
        </w:rPr>
        <w:t>其他商品和服务支出。</w:t>
      </w:r>
    </w:p>
    <w:p>
      <w:pPr>
        <w:ind w:firstLine="640" w:firstLineChars="200"/>
        <w:rPr>
          <w:rFonts w:hint="eastAsia" w:ascii="宋体" w:hAnsi="宋体" w:eastAsia="宋体" w:cs="宋体"/>
          <w:color w:val="000000" w:themeColor="text1"/>
          <w:szCs w:val="30"/>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t>七、202</w:t>
      </w:r>
      <w:r>
        <w:rPr>
          <w:rFonts w:hint="eastAsia" w:ascii="宋体" w:hAnsi="宋体" w:eastAsia="宋体" w:cs="宋体"/>
          <w:color w:val="000000" w:themeColor="text1"/>
          <w:szCs w:val="30"/>
          <w:lang w:val="en-US" w:eastAsia="zh-CN"/>
          <w14:textFill>
            <w14:solidFill>
              <w14:schemeClr w14:val="tx1"/>
            </w14:solidFill>
          </w14:textFill>
        </w:rPr>
        <w:t>4</w:t>
      </w:r>
      <w:r>
        <w:rPr>
          <w:rFonts w:hint="eastAsia" w:ascii="宋体" w:hAnsi="宋体" w:eastAsia="宋体" w:cs="宋体"/>
          <w:color w:val="000000" w:themeColor="text1"/>
          <w:szCs w:val="30"/>
          <w14:textFill>
            <w14:solidFill>
              <w14:schemeClr w14:val="tx1"/>
            </w14:solidFill>
          </w14:textFill>
        </w:rPr>
        <w:t>年一般公共预算财政拨款“三公”经费情况</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年“三公”经费预算数为</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w:t>
      </w:r>
      <w:r>
        <w:rPr>
          <w:rFonts w:hint="eastAsia" w:ascii="宋体" w:hAnsi="宋体" w:eastAsia="宋体" w:cs="宋体"/>
          <w:color w:val="000000" w:themeColor="text1"/>
          <w:szCs w:val="32"/>
          <w:lang w:val="en-US" w:eastAsia="zh-CN"/>
          <w14:textFill>
            <w14:solidFill>
              <w14:schemeClr w14:val="tx1"/>
            </w14:solidFill>
          </w14:textFill>
        </w:rPr>
        <w:t>:</w:t>
      </w:r>
      <w:r>
        <w:rPr>
          <w:rFonts w:hint="eastAsia" w:ascii="宋体" w:hAnsi="宋体" w:eastAsia="宋体" w:cs="宋体"/>
          <w:color w:val="000000" w:themeColor="text1"/>
          <w:szCs w:val="32"/>
          <w:lang w:eastAsia="zh-CN"/>
          <w14:textFill>
            <w14:solidFill>
              <w14:schemeClr w14:val="tx1"/>
            </w14:solidFill>
          </w14:textFill>
        </w:rPr>
        <w:t>当年预算</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。其中：</w:t>
      </w:r>
    </w:p>
    <w:p>
      <w:pPr>
        <w:ind w:firstLine="640" w:firstLineChars="200"/>
        <w:jc w:val="both"/>
        <w:rPr>
          <w:rFonts w:hint="eastAsia" w:ascii="宋体" w:hAnsi="宋体" w:eastAsia="宋体" w:cs="宋体"/>
          <w:color w:val="000000" w:themeColor="text1"/>
          <w:szCs w:val="32"/>
          <w:lang w:val="en-US" w:eastAsia="zh-CN"/>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1.因公出国（境）费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lang w:eastAsia="zh-CN"/>
          <w14:textFill>
            <w14:solidFill>
              <w14:schemeClr w14:val="tx1"/>
            </w14:solidFill>
          </w14:textFill>
        </w:rPr>
        <w:t>。</w:t>
      </w:r>
    </w:p>
    <w:p>
      <w:pPr>
        <w:ind w:firstLine="640" w:firstLineChars="200"/>
        <w:rPr>
          <w:rFonts w:hint="eastAsia" w:ascii="宋体" w:hAnsi="宋体" w:eastAsia="宋体" w:cs="宋体"/>
          <w:color w:val="000000" w:themeColor="text1"/>
          <w:szCs w:val="32"/>
          <w:lang w:eastAsia="zh-CN"/>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2.公务接待费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lang w:eastAsia="zh-CN"/>
          <w14:textFill>
            <w14:solidFill>
              <w14:schemeClr w14:val="tx1"/>
            </w14:solidFill>
          </w14:textFill>
        </w:rPr>
        <w:t>。</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3.公务用车购置及运行费</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。公务用车运行维护费</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；公务用车购置费</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eastAsia="zh-CN"/>
          <w14:textFill>
            <w14:solidFill>
              <w14:schemeClr w14:val="tx1"/>
            </w14:solidFill>
          </w14:textFill>
        </w:rPr>
        <w:t>其中：当年预算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万元；上年结转</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lang w:eastAsia="zh-CN"/>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2024年当年预算数</w:t>
      </w:r>
      <w:r>
        <w:rPr>
          <w:rFonts w:hint="eastAsia" w:ascii="宋体" w:hAnsi="宋体" w:eastAsia="宋体" w:cs="宋体"/>
          <w:color w:val="000000" w:themeColor="text1"/>
          <w:szCs w:val="32"/>
          <w14:textFill>
            <w14:solidFill>
              <w14:schemeClr w14:val="tx1"/>
            </w14:solidFill>
          </w14:textFill>
        </w:rPr>
        <w:t>比202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年预算数</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w:t>
      </w:r>
    </w:p>
    <w:p>
      <w:pPr>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八、202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年政府性基金预算支出情况</w:t>
      </w:r>
    </w:p>
    <w:p>
      <w:pPr>
        <w:ind w:firstLine="640"/>
        <w:rPr>
          <w:rFonts w:hint="eastAsia" w:ascii="宋体" w:hAnsi="宋体" w:eastAsia="宋体" w:cs="宋体"/>
          <w:szCs w:val="32"/>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年政府性基金预算支出</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万元，其中：基本</w:t>
      </w:r>
      <w:r>
        <w:rPr>
          <w:rFonts w:hint="eastAsia" w:ascii="宋体" w:hAnsi="宋体" w:eastAsia="宋体" w:cs="宋体"/>
          <w:szCs w:val="32"/>
        </w:rPr>
        <w:t>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%；项目支出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%。基本支出中，人员经费</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%；公用经费</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科学技术（类）支出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文化旅游体育与传媒（类）支出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社会保障和就业（类）支出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农林水支出（类）支出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firstLineChars="200"/>
        <w:rPr>
          <w:rFonts w:hint="eastAsia" w:ascii="宋体" w:hAnsi="宋体" w:eastAsia="宋体" w:cs="宋体"/>
          <w:szCs w:val="32"/>
        </w:rPr>
      </w:pPr>
      <w:r>
        <w:rPr>
          <w:rFonts w:hint="eastAsia" w:ascii="宋体" w:hAnsi="宋体" w:eastAsia="宋体" w:cs="宋体"/>
          <w:szCs w:val="32"/>
        </w:rPr>
        <w:t>九、202</w:t>
      </w:r>
      <w:r>
        <w:rPr>
          <w:rFonts w:hint="eastAsia" w:ascii="宋体" w:hAnsi="宋体" w:eastAsia="宋体" w:cs="宋体"/>
          <w:szCs w:val="32"/>
          <w:lang w:val="en-US" w:eastAsia="zh-CN"/>
        </w:rPr>
        <w:t>4</w:t>
      </w:r>
      <w:r>
        <w:rPr>
          <w:rFonts w:hint="eastAsia" w:ascii="宋体" w:hAnsi="宋体" w:eastAsia="宋体" w:cs="宋体"/>
          <w:szCs w:val="32"/>
        </w:rPr>
        <w:t>年国有资本经营预算支出情况</w:t>
      </w:r>
    </w:p>
    <w:p>
      <w:pPr>
        <w:ind w:firstLine="64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年国有资本经营预算支出</w:t>
      </w:r>
      <w:r>
        <w:rPr>
          <w:rFonts w:hint="eastAsia" w:ascii="宋体" w:hAnsi="宋体" w:eastAsia="宋体" w:cs="宋体"/>
          <w:szCs w:val="32"/>
          <w:lang w:val="en-US" w:eastAsia="zh-CN"/>
        </w:rPr>
        <w:t>0</w:t>
      </w:r>
      <w:r>
        <w:rPr>
          <w:rFonts w:hint="eastAsia" w:ascii="宋体" w:hAnsi="宋体" w:eastAsia="宋体" w:cs="宋体"/>
          <w:szCs w:val="32"/>
        </w:rPr>
        <w:t>万元，其中：基本支出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%；项目支出_</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解决历史遗留问题及改革（款）支出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国有企业资本金注入（款）支出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国有企业政策性补贴（款）支出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其他国有资本经营预算（款）支出</w:t>
      </w:r>
      <w:r>
        <w:rPr>
          <w:rFonts w:hint="eastAsia" w:ascii="宋体" w:hAnsi="宋体" w:eastAsia="宋体" w:cs="宋体"/>
          <w:szCs w:val="32"/>
          <w:lang w:val="en-US" w:eastAsia="zh-CN"/>
        </w:rPr>
        <w:t>0</w:t>
      </w:r>
      <w:r>
        <w:rPr>
          <w:rFonts w:hint="eastAsia" w:ascii="宋体" w:hAnsi="宋体" w:eastAsia="宋体" w:cs="宋体"/>
          <w:szCs w:val="32"/>
        </w:rPr>
        <w:t>万元，占</w:t>
      </w:r>
      <w:r>
        <w:rPr>
          <w:rFonts w:hint="eastAsia" w:ascii="宋体" w:hAnsi="宋体" w:eastAsia="宋体" w:cs="宋体"/>
          <w:szCs w:val="32"/>
          <w:lang w:val="en-US" w:eastAsia="zh-CN"/>
        </w:rPr>
        <w:t>0</w:t>
      </w:r>
      <w:r>
        <w:rPr>
          <w:rFonts w:hint="eastAsia" w:ascii="宋体" w:hAnsi="宋体" w:eastAsia="宋体" w:cs="宋体"/>
          <w:szCs w:val="32"/>
        </w:rPr>
        <w:t>%。</w:t>
      </w:r>
    </w:p>
    <w:p>
      <w:pPr>
        <w:ind w:firstLine="640"/>
        <w:rPr>
          <w:rFonts w:hint="eastAsia" w:ascii="宋体" w:hAnsi="宋体" w:eastAsia="宋体" w:cs="宋体"/>
          <w:szCs w:val="32"/>
        </w:rPr>
      </w:pPr>
      <w:r>
        <w:rPr>
          <w:rFonts w:hint="eastAsia" w:ascii="宋体" w:hAnsi="宋体" w:eastAsia="宋体" w:cs="宋体"/>
          <w:szCs w:val="32"/>
        </w:rPr>
        <w:t>十、其他重要事项的说明情况</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szCs w:val="32"/>
        </w:rPr>
        <w:t>（</w:t>
      </w:r>
      <w:r>
        <w:rPr>
          <w:rFonts w:hint="eastAsia" w:ascii="宋体" w:hAnsi="宋体" w:eastAsia="宋体" w:cs="宋体"/>
          <w:color w:val="000000" w:themeColor="text1"/>
          <w:szCs w:val="32"/>
          <w14:textFill>
            <w14:solidFill>
              <w14:schemeClr w14:val="tx1"/>
            </w14:solidFill>
          </w14:textFill>
        </w:rPr>
        <w:t>一）机关运行经费</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年部门本级</w:t>
      </w:r>
      <w:r>
        <w:rPr>
          <w:rFonts w:hint="eastAsia" w:ascii="宋体" w:hAnsi="宋体" w:eastAsia="宋体" w:cs="宋体"/>
          <w:color w:val="000000" w:themeColor="text1"/>
          <w:szCs w:val="32"/>
          <w:lang w:val="en-US" w:eastAsia="zh-CN"/>
          <w14:textFill>
            <w14:solidFill>
              <w14:schemeClr w14:val="tx1"/>
            </w14:solidFill>
          </w14:textFill>
        </w:rPr>
        <w:t>1</w:t>
      </w:r>
      <w:r>
        <w:rPr>
          <w:rFonts w:hint="eastAsia" w:ascii="宋体" w:hAnsi="宋体" w:eastAsia="宋体" w:cs="宋体"/>
          <w:color w:val="000000" w:themeColor="text1"/>
          <w:szCs w:val="32"/>
          <w14:textFill>
            <w14:solidFill>
              <w14:schemeClr w14:val="tx1"/>
            </w14:solidFill>
          </w14:textFill>
        </w:rPr>
        <w:t>家行政单位</w:t>
      </w:r>
      <w:r>
        <w:rPr>
          <w:rFonts w:hint="eastAsia" w:ascii="宋体" w:hAnsi="宋体" w:eastAsia="宋体" w:cs="宋体"/>
          <w:color w:val="000000" w:themeColor="text1"/>
          <w:szCs w:val="32"/>
          <w:lang w:val="en-US" w:eastAsia="zh-CN"/>
          <w14:textFill>
            <w14:solidFill>
              <w14:schemeClr w14:val="tx1"/>
            </w14:solidFill>
          </w14:textFill>
        </w:rPr>
        <w:t>(或参公管理事业单位或事业单位）</w:t>
      </w:r>
      <w:r>
        <w:rPr>
          <w:rFonts w:hint="eastAsia" w:ascii="宋体" w:hAnsi="宋体" w:eastAsia="宋体" w:cs="宋体"/>
          <w:color w:val="000000" w:themeColor="text1"/>
          <w:szCs w:val="32"/>
          <w14:textFill>
            <w14:solidFill>
              <w14:schemeClr w14:val="tx1"/>
            </w14:solidFill>
          </w14:textFill>
        </w:rPr>
        <w:t>的机关运行经费财政拨款预算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r>
        <w:rPr>
          <w:rFonts w:hint="eastAsia" w:ascii="宋体" w:hAnsi="宋体" w:eastAsia="宋体" w:cs="宋体"/>
          <w:color w:val="000000" w:themeColor="text1"/>
          <w:szCs w:val="32"/>
          <w:lang w:val="en-US" w:eastAsia="zh-CN"/>
          <w14:textFill>
            <w14:solidFill>
              <w14:schemeClr w14:val="tx1"/>
            </w14:solidFill>
          </w14:textFill>
        </w:rPr>
        <w:t>和</w:t>
      </w: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年预算</w:t>
      </w:r>
      <w:r>
        <w:rPr>
          <w:rFonts w:hint="eastAsia" w:ascii="宋体" w:hAnsi="宋体" w:eastAsia="宋体" w:cs="宋体"/>
          <w:color w:val="000000" w:themeColor="text1"/>
          <w:szCs w:val="32"/>
          <w:lang w:val="en-US" w:eastAsia="zh-CN"/>
          <w14:textFill>
            <w14:solidFill>
              <w14:schemeClr w14:val="tx1"/>
            </w14:solidFill>
          </w14:textFill>
        </w:rPr>
        <w:t>持平</w:t>
      </w:r>
      <w:r>
        <w:rPr>
          <w:rFonts w:hint="eastAsia" w:ascii="宋体" w:hAnsi="宋体" w:eastAsia="宋体" w:cs="宋体"/>
          <w:color w:val="000000" w:themeColor="text1"/>
          <w:szCs w:val="32"/>
          <w14:textFill>
            <w14:solidFill>
              <w14:schemeClr w14:val="tx1"/>
            </w14:solidFill>
          </w14:textFill>
        </w:rPr>
        <w:t>。</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（二）政府采购情况</w:t>
      </w:r>
    </w:p>
    <w:p>
      <w:pPr>
        <w:spacing w:line="540" w:lineRule="exact"/>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lang w:eastAsia="zh-CN"/>
          <w14:textFill>
            <w14:solidFill>
              <w14:schemeClr w14:val="tx1"/>
            </w14:solidFill>
          </w14:textFill>
        </w:rPr>
        <w:t>　　</w:t>
      </w:r>
      <w:r>
        <w:rPr>
          <w:rFonts w:hint="eastAsia" w:ascii="宋体" w:hAnsi="宋体" w:eastAsia="宋体" w:cs="宋体"/>
          <w:color w:val="000000" w:themeColor="text1"/>
          <w:szCs w:val="32"/>
          <w14:textFill>
            <w14:solidFill>
              <w14:schemeClr w14:val="tx1"/>
            </w14:solidFill>
          </w14:textFill>
        </w:rPr>
        <w:t>202</w:t>
      </w:r>
      <w:r>
        <w:rPr>
          <w:rFonts w:hint="eastAsia" w:ascii="宋体" w:hAnsi="宋体" w:eastAsia="宋体" w:cs="宋体"/>
          <w:color w:val="000000" w:themeColor="text1"/>
          <w:szCs w:val="32"/>
          <w:lang w:val="en-US" w:eastAsia="zh-CN"/>
          <w14:textFill>
            <w14:solidFill>
              <w14:schemeClr w14:val="tx1"/>
            </w14:solidFill>
          </w14:textFill>
        </w:rPr>
        <w:t>4</w:t>
      </w:r>
      <w:r>
        <w:rPr>
          <w:rFonts w:hint="eastAsia" w:ascii="宋体" w:hAnsi="宋体" w:eastAsia="宋体" w:cs="宋体"/>
          <w:color w:val="000000" w:themeColor="text1"/>
          <w:szCs w:val="32"/>
          <w14:textFill>
            <w14:solidFill>
              <w14:schemeClr w14:val="tx1"/>
            </w14:solidFill>
          </w14:textFill>
        </w:rPr>
        <w:t>年政府采购预算总额</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万元，其中：政府采购货物预算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万元、政府采购工程预算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万元、政府采购服务预算</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万元。</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（三）国有资产占有使用情况</w:t>
      </w:r>
    </w:p>
    <w:p>
      <w:pPr>
        <w:spacing w:line="540" w:lineRule="exact"/>
        <w:ind w:firstLine="640" w:firstLineChars="200"/>
        <w:rPr>
          <w:rFonts w:hint="eastAsia" w:ascii="宋体" w:hAnsi="宋体" w:eastAsia="宋体" w:cs="宋体"/>
          <w:color w:val="000000" w:themeColor="text1"/>
          <w:szCs w:val="32"/>
          <w14:textFill>
            <w14:solidFill>
              <w14:schemeClr w14:val="tx1"/>
            </w14:solidFill>
          </w14:textFill>
        </w:rPr>
      </w:pPr>
      <w:r>
        <w:rPr>
          <w:rFonts w:hint="eastAsia" w:ascii="宋体" w:hAnsi="宋体" w:eastAsia="宋体" w:cs="宋体"/>
          <w:color w:val="000000" w:themeColor="text1"/>
          <w:szCs w:val="32"/>
          <w14:textFill>
            <w14:solidFill>
              <w14:schemeClr w14:val="tx1"/>
            </w14:solidFill>
          </w14:textFill>
        </w:rPr>
        <w:t>截至202</w:t>
      </w:r>
      <w:r>
        <w:rPr>
          <w:rFonts w:hint="eastAsia" w:ascii="宋体" w:hAnsi="宋体" w:eastAsia="宋体" w:cs="宋体"/>
          <w:color w:val="000000" w:themeColor="text1"/>
          <w:szCs w:val="32"/>
          <w:lang w:val="en-US" w:eastAsia="zh-CN"/>
          <w14:textFill>
            <w14:solidFill>
              <w14:schemeClr w14:val="tx1"/>
            </w14:solidFill>
          </w14:textFill>
        </w:rPr>
        <w:t>3</w:t>
      </w:r>
      <w:r>
        <w:rPr>
          <w:rFonts w:hint="eastAsia" w:ascii="宋体" w:hAnsi="宋体" w:eastAsia="宋体" w:cs="宋体"/>
          <w:color w:val="000000" w:themeColor="text1"/>
          <w:szCs w:val="32"/>
          <w14:textFill>
            <w14:solidFill>
              <w14:schemeClr w14:val="tx1"/>
            </w14:solidFill>
          </w14:textFill>
        </w:rPr>
        <w:t>年8月底，部门本级和所属各预算单位共有车辆</w:t>
      </w:r>
      <w:r>
        <w:rPr>
          <w:rFonts w:hint="eastAsia" w:ascii="宋体" w:hAnsi="宋体" w:eastAsia="宋体" w:cs="宋体"/>
          <w:color w:val="000000" w:themeColor="text1"/>
          <w:szCs w:val="32"/>
          <w:lang w:val="en-US" w:eastAsia="zh-CN"/>
          <w14:textFill>
            <w14:solidFill>
              <w14:schemeClr w14:val="tx1"/>
            </w14:solidFill>
          </w14:textFill>
        </w:rPr>
        <w:t>1</w:t>
      </w:r>
      <w:r>
        <w:rPr>
          <w:rFonts w:hint="eastAsia" w:ascii="宋体" w:hAnsi="宋体" w:eastAsia="宋体" w:cs="宋体"/>
          <w:color w:val="000000" w:themeColor="text1"/>
          <w:szCs w:val="32"/>
          <w14:textFill>
            <w14:solidFill>
              <w14:schemeClr w14:val="tx1"/>
            </w14:solidFill>
          </w14:textFill>
        </w:rPr>
        <w:t>辆，土地</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平方米，房屋</w:t>
      </w:r>
      <w:r>
        <w:rPr>
          <w:rFonts w:hint="eastAsia" w:ascii="宋体" w:hAnsi="宋体" w:eastAsia="宋体" w:cs="宋体"/>
          <w:color w:val="000000" w:themeColor="text1"/>
          <w:szCs w:val="32"/>
          <w:lang w:val="en-US" w:eastAsia="zh-CN"/>
          <w14:textFill>
            <w14:solidFill>
              <w14:schemeClr w14:val="tx1"/>
            </w14:solidFill>
          </w14:textFill>
        </w:rPr>
        <w:t>2100</w:t>
      </w:r>
      <w:r>
        <w:rPr>
          <w:rFonts w:hint="eastAsia" w:ascii="宋体" w:hAnsi="宋体" w:eastAsia="宋体" w:cs="宋体"/>
          <w:color w:val="000000" w:themeColor="text1"/>
          <w:szCs w:val="32"/>
          <w14:textFill>
            <w14:solidFill>
              <w14:schemeClr w14:val="tx1"/>
            </w14:solidFill>
          </w14:textFill>
        </w:rPr>
        <w:t>平方米，单价50万元及以上的通用设备</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台/套，单价100万元及以上的专用设备实有数</w:t>
      </w:r>
      <w:r>
        <w:rPr>
          <w:rFonts w:hint="eastAsia" w:ascii="宋体" w:hAnsi="宋体" w:eastAsia="宋体" w:cs="宋体"/>
          <w:color w:val="000000" w:themeColor="text1"/>
          <w:szCs w:val="32"/>
          <w:lang w:val="en-US" w:eastAsia="zh-CN"/>
          <w14:textFill>
            <w14:solidFill>
              <w14:schemeClr w14:val="tx1"/>
            </w14:solidFill>
          </w14:textFill>
        </w:rPr>
        <w:t>0</w:t>
      </w:r>
      <w:r>
        <w:rPr>
          <w:rFonts w:hint="eastAsia" w:ascii="宋体" w:hAnsi="宋体" w:eastAsia="宋体" w:cs="宋体"/>
          <w:color w:val="000000" w:themeColor="text1"/>
          <w:szCs w:val="32"/>
          <w14:textFill>
            <w14:solidFill>
              <w14:schemeClr w14:val="tx1"/>
            </w14:solidFill>
          </w14:textFill>
        </w:rPr>
        <w:t>台/套。</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202</w:t>
      </w:r>
      <w:r>
        <w:rPr>
          <w:rFonts w:hint="eastAsia" w:ascii="宋体" w:hAnsi="宋体" w:eastAsia="宋体" w:cs="宋体"/>
          <w:szCs w:val="32"/>
          <w:lang w:val="en-US" w:eastAsia="zh-CN"/>
        </w:rPr>
        <w:t>4</w:t>
      </w:r>
      <w:r>
        <w:rPr>
          <w:rFonts w:hint="eastAsia" w:ascii="宋体" w:hAnsi="宋体" w:eastAsia="宋体" w:cs="宋体"/>
          <w:szCs w:val="32"/>
        </w:rPr>
        <w:t>年部门预算安排购置车辆</w:t>
      </w:r>
      <w:r>
        <w:rPr>
          <w:rFonts w:hint="eastAsia" w:ascii="宋体" w:hAnsi="宋体" w:eastAsia="宋体" w:cs="宋体"/>
          <w:szCs w:val="32"/>
          <w:lang w:val="en-US" w:eastAsia="zh-CN"/>
        </w:rPr>
        <w:t>0</w:t>
      </w:r>
      <w:r>
        <w:rPr>
          <w:rFonts w:hint="eastAsia" w:ascii="宋体" w:hAnsi="宋体" w:eastAsia="宋体" w:cs="宋体"/>
          <w:szCs w:val="32"/>
        </w:rPr>
        <w:t>辆，安排购置土地</w:t>
      </w:r>
      <w:r>
        <w:rPr>
          <w:rFonts w:hint="eastAsia" w:ascii="宋体" w:hAnsi="宋体" w:eastAsia="宋体" w:cs="宋体"/>
          <w:szCs w:val="32"/>
          <w:lang w:val="en-US" w:eastAsia="zh-CN"/>
        </w:rPr>
        <w:t>0</w:t>
      </w:r>
      <w:r>
        <w:rPr>
          <w:rFonts w:hint="eastAsia" w:ascii="宋体" w:hAnsi="宋体" w:eastAsia="宋体" w:cs="宋体"/>
          <w:szCs w:val="32"/>
        </w:rPr>
        <w:t>平方米，安排购置房屋</w:t>
      </w:r>
      <w:r>
        <w:rPr>
          <w:rFonts w:hint="eastAsia" w:ascii="宋体" w:hAnsi="宋体" w:eastAsia="宋体" w:cs="宋体"/>
          <w:szCs w:val="32"/>
          <w:lang w:val="en-US" w:eastAsia="zh-CN"/>
        </w:rPr>
        <w:t>0</w:t>
      </w:r>
      <w:r>
        <w:rPr>
          <w:rFonts w:hint="eastAsia" w:ascii="宋体" w:hAnsi="宋体" w:eastAsia="宋体" w:cs="宋体"/>
          <w:szCs w:val="32"/>
        </w:rPr>
        <w:t>平方米，计划新增单价50万元及以上的通用设备</w:t>
      </w:r>
      <w:r>
        <w:rPr>
          <w:rFonts w:hint="eastAsia" w:ascii="宋体" w:hAnsi="宋体" w:eastAsia="宋体" w:cs="宋体"/>
          <w:szCs w:val="32"/>
          <w:lang w:val="en-US" w:eastAsia="zh-CN"/>
        </w:rPr>
        <w:t>0</w:t>
      </w:r>
      <w:r>
        <w:rPr>
          <w:rFonts w:hint="eastAsia" w:ascii="宋体" w:hAnsi="宋体" w:eastAsia="宋体" w:cs="宋体"/>
          <w:szCs w:val="32"/>
        </w:rPr>
        <w:t>台/套，计划新增单价100万元及以上的专用设备实有数</w:t>
      </w:r>
      <w:r>
        <w:rPr>
          <w:rFonts w:hint="eastAsia" w:ascii="宋体" w:hAnsi="宋体" w:eastAsia="宋体" w:cs="宋体"/>
          <w:szCs w:val="32"/>
          <w:lang w:val="en-US" w:eastAsia="zh-CN"/>
        </w:rPr>
        <w:t>0</w:t>
      </w:r>
      <w:r>
        <w:rPr>
          <w:rFonts w:hint="eastAsia" w:ascii="宋体" w:hAnsi="宋体" w:eastAsia="宋体" w:cs="宋体"/>
          <w:szCs w:val="32"/>
        </w:rPr>
        <w:t>台/套。</w:t>
      </w:r>
    </w:p>
    <w:p>
      <w:pPr>
        <w:numPr>
          <w:ilvl w:val="0"/>
          <w:numId w:val="1"/>
        </w:numPr>
        <w:spacing w:line="540" w:lineRule="exact"/>
        <w:ind w:firstLine="640" w:firstLineChars="200"/>
        <w:rPr>
          <w:rFonts w:hint="eastAsia" w:ascii="宋体" w:hAnsi="宋体" w:eastAsia="宋体" w:cs="宋体"/>
          <w:szCs w:val="32"/>
        </w:rPr>
      </w:pPr>
      <w:r>
        <w:rPr>
          <w:rFonts w:hint="eastAsia" w:ascii="宋体" w:hAnsi="宋体" w:eastAsia="宋体" w:cs="宋体"/>
          <w:szCs w:val="32"/>
        </w:rPr>
        <w:t>项目支出情况说明</w:t>
      </w:r>
    </w:p>
    <w:p>
      <w:pPr>
        <w:spacing w:line="540" w:lineRule="exact"/>
        <w:ind w:firstLine="640" w:firstLineChars="2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年部门项目支出</w:t>
      </w:r>
      <w:r>
        <w:rPr>
          <w:rFonts w:hint="eastAsia" w:ascii="宋体" w:hAnsi="宋体" w:eastAsia="宋体" w:cs="宋体"/>
          <w:szCs w:val="32"/>
          <w:lang w:val="en-US" w:eastAsia="zh-CN"/>
        </w:rPr>
        <w:t>0</w:t>
      </w:r>
      <w:r>
        <w:rPr>
          <w:rFonts w:hint="eastAsia" w:ascii="宋体" w:hAnsi="宋体" w:eastAsia="宋体" w:cs="宋体"/>
          <w:szCs w:val="32"/>
        </w:rPr>
        <w:t>万元，其中：一级项目</w:t>
      </w:r>
      <w:r>
        <w:rPr>
          <w:rFonts w:hint="eastAsia" w:ascii="宋体" w:hAnsi="宋体" w:eastAsia="宋体" w:cs="宋体"/>
          <w:szCs w:val="32"/>
          <w:lang w:val="en-US" w:eastAsia="zh-CN"/>
        </w:rPr>
        <w:t>0</w:t>
      </w:r>
      <w:r>
        <w:rPr>
          <w:rFonts w:hint="eastAsia" w:ascii="宋体" w:hAnsi="宋体" w:eastAsia="宋体" w:cs="宋体"/>
          <w:szCs w:val="32"/>
        </w:rPr>
        <w:t>个，二级项目</w:t>
      </w:r>
      <w:r>
        <w:rPr>
          <w:rFonts w:hint="eastAsia" w:ascii="宋体" w:hAnsi="宋体" w:eastAsia="宋体" w:cs="宋体"/>
          <w:szCs w:val="32"/>
          <w:lang w:val="en-US" w:eastAsia="zh-CN"/>
        </w:rPr>
        <w:t>0</w:t>
      </w:r>
      <w:r>
        <w:rPr>
          <w:rFonts w:hint="eastAsia" w:ascii="宋体" w:hAnsi="宋体" w:eastAsia="宋体" w:cs="宋体"/>
          <w:szCs w:val="32"/>
        </w:rPr>
        <w:t>个；使用本年拨款</w:t>
      </w:r>
      <w:r>
        <w:rPr>
          <w:rFonts w:hint="eastAsia" w:ascii="宋体" w:hAnsi="宋体" w:eastAsia="宋体" w:cs="宋体"/>
          <w:szCs w:val="32"/>
          <w:lang w:val="en-US" w:eastAsia="zh-CN"/>
        </w:rPr>
        <w:t>0</w:t>
      </w:r>
      <w:r>
        <w:rPr>
          <w:rFonts w:hint="eastAsia" w:ascii="宋体" w:hAnsi="宋体" w:eastAsia="宋体" w:cs="宋体"/>
          <w:szCs w:val="32"/>
        </w:rPr>
        <w:t>万元，财政拨款结转</w:t>
      </w:r>
      <w:r>
        <w:rPr>
          <w:rFonts w:hint="eastAsia" w:ascii="宋体" w:hAnsi="宋体" w:eastAsia="宋体" w:cs="宋体"/>
          <w:szCs w:val="32"/>
          <w:lang w:val="en-US" w:eastAsia="zh-CN"/>
        </w:rPr>
        <w:t>0</w:t>
      </w:r>
      <w:r>
        <w:rPr>
          <w:rFonts w:hint="eastAsia" w:ascii="宋体" w:hAnsi="宋体" w:eastAsia="宋体" w:cs="宋体"/>
          <w:szCs w:val="32"/>
        </w:rPr>
        <w:t>万元。</w:t>
      </w:r>
    </w:p>
    <w:p>
      <w:pPr>
        <w:spacing w:line="540" w:lineRule="exact"/>
        <w:ind w:firstLine="640" w:firstLineChars="200"/>
        <w:rPr>
          <w:rFonts w:hint="eastAsia" w:ascii="宋体" w:hAnsi="宋体" w:eastAsia="宋体" w:cs="宋体"/>
          <w:szCs w:val="32"/>
        </w:rPr>
      </w:pPr>
      <w:r>
        <w:rPr>
          <w:rFonts w:hint="eastAsia" w:ascii="宋体" w:hAnsi="宋体" w:eastAsia="宋体" w:cs="宋体"/>
          <w:szCs w:val="32"/>
        </w:rPr>
        <w:t>（五）项目支出绩效目标情况说明</w:t>
      </w:r>
    </w:p>
    <w:p>
      <w:pPr>
        <w:ind w:firstLine="645"/>
        <w:rPr>
          <w:rFonts w:hint="eastAsia" w:ascii="宋体" w:hAnsi="宋体" w:eastAsia="宋体" w:cs="宋体"/>
          <w:szCs w:val="32"/>
        </w:rPr>
      </w:pPr>
      <w:r>
        <w:rPr>
          <w:rFonts w:hint="eastAsia" w:ascii="宋体" w:hAnsi="宋体" w:eastAsia="宋体" w:cs="宋体"/>
        </w:rPr>
        <w:t>按照全面实施预算绩效管理的要求，结合本部门职能和重点工作，202</w:t>
      </w:r>
      <w:r>
        <w:rPr>
          <w:rFonts w:hint="eastAsia" w:ascii="宋体" w:hAnsi="宋体" w:eastAsia="宋体" w:cs="宋体"/>
          <w:lang w:val="en-US" w:eastAsia="zh-CN"/>
        </w:rPr>
        <w:t>4</w:t>
      </w:r>
      <w:r>
        <w:rPr>
          <w:rFonts w:hint="eastAsia" w:ascii="宋体" w:hAnsi="宋体" w:eastAsia="宋体" w:cs="宋体"/>
        </w:rPr>
        <w:t>年确定</w:t>
      </w:r>
      <w:r>
        <w:rPr>
          <w:rFonts w:hint="eastAsia" w:ascii="宋体" w:hAnsi="宋体" w:eastAsia="宋体" w:cs="宋体"/>
          <w:szCs w:val="32"/>
          <w:lang w:val="en-US" w:eastAsia="zh-CN"/>
        </w:rPr>
        <w:t>0</w:t>
      </w:r>
      <w:r>
        <w:rPr>
          <w:rFonts w:hint="eastAsia" w:ascii="宋体" w:hAnsi="宋体" w:eastAsia="宋体" w:cs="宋体"/>
        </w:rPr>
        <w:t>个一级项目支出的绩效目标和指标向社会公开，涉及金额</w:t>
      </w:r>
      <w:r>
        <w:rPr>
          <w:rFonts w:hint="eastAsia" w:ascii="宋体" w:hAnsi="宋体" w:eastAsia="宋体" w:cs="宋体"/>
          <w:szCs w:val="32"/>
          <w:lang w:val="en-US" w:eastAsia="zh-CN"/>
        </w:rPr>
        <w:t>0</w:t>
      </w:r>
      <w:r>
        <w:rPr>
          <w:rFonts w:hint="eastAsia" w:ascii="宋体" w:hAnsi="宋体" w:eastAsia="宋体" w:cs="宋体"/>
        </w:rPr>
        <w:t>万元。</w:t>
      </w:r>
    </w:p>
    <w:p>
      <w:pPr>
        <w:ind w:firstLine="640" w:firstLineChars="200"/>
        <w:jc w:val="center"/>
        <w:rPr>
          <w:rFonts w:eastAsia="黑体"/>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指省级财政通过当年一般公共预算拨付的资金。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rPr>
      <w:t>4</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ZWQzMzE5MGY5YWM0YWFmNjk1MDQ2YjI0YzRiMTgifQ=="/>
  </w:docVars>
  <w:rsids>
    <w:rsidRoot w:val="00172A27"/>
    <w:rsid w:val="3EB4159E"/>
    <w:rsid w:val="4BF30528"/>
    <w:rsid w:val="54CD0217"/>
    <w:rsid w:val="697059F9"/>
    <w:rsid w:val="6D5B1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link w:val="11"/>
    <w:autoRedefine/>
    <w:uiPriority w:val="0"/>
    <w:rPr>
      <w:rFonts w:eastAsia="宋体"/>
      <w:sz w:val="21"/>
      <w:szCs w:val="20"/>
    </w:rPr>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3"/>
    <w:autoRedefine/>
    <w:qFormat/>
    <w:uiPriority w:val="0"/>
    <w:rPr>
      <w:sz w:val="18"/>
      <w:szCs w:val="18"/>
    </w:rPr>
  </w:style>
  <w:style w:type="paragraph" w:styleId="6">
    <w:name w:val="footer"/>
    <w:basedOn w:val="1"/>
    <w:link w:val="17"/>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1">
    <w:name w:val=" Char"/>
    <w:basedOn w:val="1"/>
    <w:link w:val="10"/>
    <w:qFormat/>
    <w:uiPriority w:val="0"/>
    <w:pPr>
      <w:widowControl/>
      <w:spacing w:after="160" w:afterLines="0" w:line="240" w:lineRule="exact"/>
      <w:jc w:val="left"/>
    </w:pPr>
    <w:rPr>
      <w:rFonts w:eastAsia="宋体"/>
      <w:sz w:val="21"/>
      <w:szCs w:val="20"/>
    </w:rPr>
  </w:style>
  <w:style w:type="character" w:styleId="12">
    <w:name w:val="page number"/>
    <w:basedOn w:val="10"/>
    <w:autoRedefine/>
    <w:qFormat/>
    <w:uiPriority w:val="0"/>
  </w:style>
  <w:style w:type="character" w:customStyle="1" w:styleId="13">
    <w:name w:val="批注框文本 字符"/>
    <w:link w:val="5"/>
    <w:autoRedefine/>
    <w:qFormat/>
    <w:uiPriority w:val="0"/>
    <w:rPr>
      <w:rFonts w:eastAsia="仿宋_GB2312"/>
      <w:kern w:val="2"/>
      <w:sz w:val="18"/>
      <w:szCs w:val="18"/>
    </w:rPr>
  </w:style>
  <w:style w:type="character" w:customStyle="1" w:styleId="14">
    <w:name w:val="font61"/>
    <w:autoRedefine/>
    <w:qFormat/>
    <w:uiPriority w:val="0"/>
    <w:rPr>
      <w:rFonts w:hint="eastAsia" w:ascii="宋体" w:hAnsi="宋体" w:eastAsia="宋体" w:cs="宋体"/>
      <w:color w:val="000000"/>
      <w:sz w:val="24"/>
      <w:szCs w:val="24"/>
      <w:u w:val="none"/>
    </w:rPr>
  </w:style>
  <w:style w:type="character" w:customStyle="1" w:styleId="15">
    <w:name w:val="font41"/>
    <w:autoRedefine/>
    <w:qFormat/>
    <w:uiPriority w:val="0"/>
    <w:rPr>
      <w:rFonts w:hint="default" w:ascii="华文细黑" w:hAnsi="华文细黑" w:eastAsia="华文细黑" w:cs="华文细黑"/>
      <w:color w:val="000000"/>
      <w:sz w:val="20"/>
      <w:szCs w:val="20"/>
      <w:u w:val="none"/>
    </w:rPr>
  </w:style>
  <w:style w:type="character" w:customStyle="1" w:styleId="16">
    <w:name w:val="font01"/>
    <w:autoRedefine/>
    <w:qFormat/>
    <w:uiPriority w:val="0"/>
    <w:rPr>
      <w:rFonts w:hint="default" w:ascii="Times New Roman" w:hAnsi="Times New Roman" w:cs="Times New Roman"/>
      <w:color w:val="000000"/>
      <w:sz w:val="24"/>
      <w:szCs w:val="24"/>
      <w:u w:val="none"/>
    </w:rPr>
  </w:style>
  <w:style w:type="character" w:customStyle="1" w:styleId="17">
    <w:name w:val="页脚 字符"/>
    <w:link w:val="6"/>
    <w:autoRedefine/>
    <w:qFormat/>
    <w:uiPriority w:val="0"/>
    <w:rPr>
      <w:rFonts w:eastAsia="仿宋_GB2312"/>
      <w:kern w:val="2"/>
      <w:sz w:val="18"/>
    </w:rPr>
  </w:style>
  <w:style w:type="character" w:customStyle="1" w:styleId="18">
    <w:name w:val="font11"/>
    <w:autoRedefine/>
    <w:qFormat/>
    <w:uiPriority w:val="0"/>
    <w:rPr>
      <w:rFonts w:hint="default" w:ascii="Arial" w:hAnsi="Arial" w:cs="Arial"/>
      <w:color w:val="000000"/>
      <w:sz w:val="24"/>
      <w:szCs w:val="24"/>
      <w:u w:val="none"/>
    </w:rPr>
  </w:style>
  <w:style w:type="character" w:customStyle="1" w:styleId="19">
    <w:name w:val="font21"/>
    <w:autoRedefine/>
    <w:qFormat/>
    <w:uiPriority w:val="0"/>
    <w:rPr>
      <w:rFonts w:hint="default" w:ascii="Arial" w:hAnsi="Arial" w:cs="Arial"/>
      <w:color w:val="000000"/>
      <w:sz w:val="20"/>
      <w:szCs w:val="20"/>
      <w:u w:val="none"/>
    </w:rPr>
  </w:style>
  <w:style w:type="paragraph" w:customStyle="1" w:styleId="20">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4">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1">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2">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5">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6">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8">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9">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48">
    <w:name w:val="Char"/>
    <w:basedOn w:val="1"/>
    <w:autoRedefine/>
    <w:qFormat/>
    <w:uiPriority w:val="0"/>
    <w:rPr>
      <w:rFonts w:eastAsia="宋体"/>
      <w:sz w:val="21"/>
      <w:szCs w:val="21"/>
    </w:rPr>
  </w:style>
  <w:style w:type="paragraph" w:customStyle="1" w:styleId="49">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1">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正文文本 21"/>
    <w:basedOn w:val="1"/>
    <w:autoRedefine/>
    <w:qFormat/>
    <w:uiPriority w:val="0"/>
    <w:pPr>
      <w:adjustRightInd w:val="0"/>
      <w:ind w:firstLine="630"/>
      <w:jc w:val="left"/>
      <w:textAlignment w:val="baseline"/>
    </w:pPr>
    <w:rPr>
      <w:rFonts w:eastAsia="黑体"/>
    </w:rPr>
  </w:style>
  <w:style w:type="paragraph" w:customStyle="1" w:styleId="54">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6">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7">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9">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0">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3">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4">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6">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9">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0">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1">
    <w:name w:val="p0"/>
    <w:basedOn w:val="1"/>
    <w:autoRedefine/>
    <w:qFormat/>
    <w:uiPriority w:val="0"/>
    <w:pPr>
      <w:widowControl/>
    </w:pPr>
    <w:rPr>
      <w:rFonts w:eastAsia="宋体"/>
      <w:kern w:val="0"/>
      <w:szCs w:val="32"/>
    </w:rPr>
  </w:style>
  <w:style w:type="paragraph" w:customStyle="1" w:styleId="82">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 2020年部门预算信息公开模板.dot</Template>
  <Pages>29</Pages>
  <Words>6326</Words>
  <Characters>7981</Characters>
  <Lines>71</Lines>
  <Paragraphs>20</Paragraphs>
  <TotalTime>25</TotalTime>
  <ScaleCrop>false</ScaleCrop>
  <LinksUpToDate>false</LinksUpToDate>
  <CharactersWithSpaces>8529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冰尘</cp:lastModifiedBy>
  <cp:lastPrinted>2022-02-21T08:08:00Z</cp:lastPrinted>
  <dcterms:modified xsi:type="dcterms:W3CDTF">2024-01-17T02:47:51Z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FDAB158EBF6B42A8AF7EA176A1788B31_13</vt:lpwstr>
  </property>
</Properties>
</file>