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梨树县2024年政府性基金预算情况说明</w:t>
      </w:r>
    </w:p>
    <w:p>
      <w:pPr>
        <w:rPr>
          <w:rFonts w:hint="default"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一、收入情况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2024年，梨树县政府性基金本级收入安排38982万元，比上年增加23437万元，减少66.15%，为上年执行数的33.85%，其中：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1、国有土地收益基金收入预计完成450万元，为上年执行数的109.76%。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2、农业土地开发资金收入预计完成200万元，为上年执行数的133.33%。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3、国有土地使用权出让收入预计完成8500万元，为上年执行数的49.74%。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4、城市基础设施配套费收入预计完成300万元，为上年执行数的120.00%。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5、污水处理费收入预计完成550万元，为上年执行数的100.00%。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6、彩票发行机构和彩票销售机构的业务费用收入预计完成0万元，为上年执行数的0%。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7、专项债券对应项目专项收入预计完成4000万元，为上年执行数的170.07%。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8、上级补助收入预计完成1970万元，为上年执行数的48.88%。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9、上年结余收入23012万元，为上年执行数的76.12%。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全年政府性基金收入总计为38982万元。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二、支出情况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2023年，梨树县政府性基金支出合计38982万元，比上年减少76179万元，下降66.15%，为上年执行数的33.85%。其中：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1、文化旅游体育与传媒支出预计完成152万元，为上年执行数的460.61%。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2、社会保障和就业支出预计完成0万元，为上年执行数的0%。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3、城乡社区支出预计完成22790万元，为上年执行数的142.44%。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4、农林水支出预计完成1928万元。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5、其他支出预计完成5611万元，为上年执行数的13.15%。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6、债务付息支出预计完成8428万元，为上年执行数的118.70%。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7、债务发行费用支出预计完成73万元，为上年执行数的130.36%。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8、调出资金预计完成0万元，为上年执行数的0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%。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2AA776A5"/>
    <w:rsid w:val="3E035A97"/>
    <w:rsid w:val="4B94341B"/>
    <w:rsid w:val="7DEC5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666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2022-05-16T00:46:00Z</dcterms:created>
  <dc:creator>Administrator</dc:creator>
  <cp:lastModifiedBy>冰尘</cp:lastModifiedBy>
  <dcterms:modified xsi:type="dcterms:W3CDTF">2024-01-18T01:36:51Z</dcterms:modified>
  <dc:title>梨树县2023年政府性基金预算情况说明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96ECE3A6900A4A568E197BAEB7D7B058_13</vt:lpwstr>
  </property>
</Properties>
</file>