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kern w:val="2"/>
          <w:sz w:val="21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黑体" w:hAnsi="方正小标宋简体" w:eastAsia="黑体" w:cs="方正小标宋简体"/>
          <w:bCs/>
          <w:sz w:val="44"/>
          <w:szCs w:val="44"/>
        </w:rPr>
      </w:pPr>
      <w:r>
        <w:rPr>
          <w:rFonts w:hint="eastAsia" w:ascii="黑体" w:hAnsi="方正小标宋简体" w:eastAsia="黑体" w:cs="方正小标宋简体"/>
          <w:bCs/>
          <w:sz w:val="44"/>
          <w:szCs w:val="44"/>
        </w:rPr>
        <w:t>梨树县20</w:t>
      </w:r>
      <w:r>
        <w:rPr>
          <w:rFonts w:hint="default" w:ascii="黑体" w:hAnsi="方正小标宋简体" w:eastAsia="黑体" w:cs="方正小标宋简体"/>
          <w:bCs/>
          <w:sz w:val="44"/>
          <w:szCs w:val="44"/>
          <w:lang w:val="en-US"/>
        </w:rPr>
        <w:t>2</w:t>
      </w:r>
      <w:r>
        <w:rPr>
          <w:rFonts w:hint="eastAsia" w:ascii="黑体" w:hAnsi="方正小标宋简体" w:eastAsia="黑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方正小标宋简体" w:eastAsia="黑体" w:cs="方正小标宋简体"/>
          <w:bCs/>
          <w:sz w:val="44"/>
          <w:szCs w:val="44"/>
        </w:rPr>
        <w:t>年政府债务情况说明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截至2023年末，全县政府债务限额为75.41亿元。其中：一般债务限额51.34亿元，专项债务限额24.07亿元。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截至2023年末，全县政府债务余额为74.66亿元。其中：一般债务余额50.95亿元，专项债务余额23.71亿元。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2023年，我县新增地方政府债券5.47亿元。其中：新增一般债券3.17亿元，新增专项债券2.3亿元。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2023年债务还本付息支出安排28489万元。其中：一般债务本金1562万元，利息及发行费16200万元；专项债务本金3600万元，利息及发行费7127万元。</w:t>
      </w:r>
    </w:p>
    <w:p>
      <w:pPr>
        <w:tabs>
          <w:tab w:val="left" w:pos="1963"/>
        </w:tabs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4933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2024-01-18T06:14:40Z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